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ind w:firstLine="420"/>
        <w:jc w:val="center"/>
        <w:textAlignment w:val="baseline"/>
        <w:rPr>
          <w:rStyle w:val="6"/>
          <w:rFonts w:asciiTheme="majorEastAsia" w:hAnsiTheme="majorEastAsia" w:eastAsiaTheme="majorEastAsia" w:cstheme="majorEastAsia"/>
          <w:color w:val="333333"/>
          <w:sz w:val="32"/>
          <w:szCs w:val="32"/>
          <w:shd w:val="clear" w:color="auto" w:fill="FFFFFF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bCs/>
          <w:color w:val="333333"/>
          <w:sz w:val="40"/>
          <w:szCs w:val="40"/>
          <w:shd w:val="clear" w:color="auto" w:fill="FFFFFF"/>
        </w:rPr>
        <w:t>2021年高职扩招专项工作招生考</w:t>
      </w:r>
      <w:r>
        <w:rPr>
          <w:rStyle w:val="6"/>
          <w:rFonts w:hint="eastAsia" w:ascii="方正大标宋简体" w:hAnsi="方正大标宋简体" w:eastAsia="方正大标宋简体" w:cs="方正大标宋简体"/>
          <w:b w:val="0"/>
          <w:bCs/>
          <w:color w:val="333333"/>
          <w:sz w:val="40"/>
          <w:szCs w:val="40"/>
          <w:shd w:val="clear" w:color="auto" w:fill="FFFFFF"/>
          <w:lang w:val="en-US" w:eastAsia="zh-CN"/>
        </w:rPr>
        <w:t>生</w:t>
      </w:r>
      <w:r>
        <w:rPr>
          <w:rStyle w:val="6"/>
          <w:rFonts w:hint="eastAsia" w:ascii="方正大标宋简体" w:hAnsi="方正大标宋简体" w:eastAsia="方正大标宋简体" w:cs="方正大标宋简体"/>
          <w:b w:val="0"/>
          <w:bCs/>
          <w:color w:val="333333"/>
          <w:sz w:val="40"/>
          <w:szCs w:val="40"/>
          <w:shd w:val="clear" w:color="auto" w:fill="FFFFFF"/>
        </w:rPr>
        <w:t>须知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center"/>
        <w:textAlignment w:val="baseline"/>
        <w:rPr>
          <w:rStyle w:val="6"/>
          <w:rFonts w:asciiTheme="majorEastAsia" w:hAnsiTheme="majorEastAsia" w:eastAsiaTheme="majorEastAsia" w:cstheme="majorEastAsi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textAlignment w:val="baseline"/>
        <w:rPr>
          <w:rStyle w:val="6"/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Style w:val="6"/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考试时间</w:t>
      </w:r>
    </w:p>
    <w:p>
      <w:pPr>
        <w:pStyle w:val="4"/>
        <w:widowControl/>
        <w:shd w:val="clear" w:color="auto" w:fill="FFFFFF"/>
        <w:spacing w:beforeAutospacing="0" w:afterAutospacing="0"/>
        <w:ind w:left="420" w:firstLine="600" w:firstLineChars="200"/>
        <w:textAlignment w:val="baseline"/>
        <w:rPr>
          <w:rStyle w:val="6"/>
          <w:rFonts w:ascii="宋体" w:hAnsi="宋体" w:eastAsia="宋体" w:cs="宋体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</w:rPr>
        <w:t>根据省教育考试院《关于做好高职扩招相关工作的通知》（川教考院〔2021〕95号）精神，鉴于当前疫情防控形势，原定于2021年11月27日的2021年高职扩招考试现推迟至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2021年12月18日</w:t>
      </w:r>
      <w:r>
        <w:rPr>
          <w:rFonts w:hint="eastAsia" w:ascii="宋体" w:hAnsi="宋体" w:eastAsia="宋体" w:cs="宋体"/>
          <w:sz w:val="30"/>
          <w:szCs w:val="30"/>
        </w:rPr>
        <w:t>进行考试。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b/>
          <w:color w:val="333333"/>
          <w:sz w:val="30"/>
          <w:szCs w:val="30"/>
        </w:rPr>
      </w:pPr>
      <w:r>
        <w:rPr>
          <w:rStyle w:val="6"/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二、考试地点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达州中医药职业学院（学校地址：四川省达州市通川区西南职教园区犀牛大道北段，乘坐公交车10路-达州中医药职业学院站可抵达）。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</w:rPr>
      </w:pPr>
      <w:r>
        <w:rPr>
          <w:rStyle w:val="6"/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三、领取准考证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考生须携带本人身份证、身份证复印件、退役证、医疗从业单位证明、技能等级证书、农民工需提供半年以上合同原件及复印件、《四川省2021年高职扩招专项工作考生报名登记表》于2021年12月17日9:00-17:00到达州中医药职业学院精诚楼二楼210办公室领取准考证，并熟悉考场。</w:t>
      </w:r>
    </w:p>
    <w:p>
      <w:pPr>
        <w:pStyle w:val="4"/>
        <w:widowControl/>
        <w:shd w:val="clear" w:color="auto" w:fill="FFFFFF"/>
        <w:spacing w:beforeAutospacing="0" w:afterAutospacing="0"/>
        <w:ind w:left="420"/>
        <w:textAlignment w:val="baseline"/>
        <w:rPr>
          <w:rFonts w:asciiTheme="majorEastAsia" w:hAnsiTheme="majorEastAsia" w:eastAsiaTheme="majorEastAsia" w:cstheme="majorEastAsi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0"/>
          <w:szCs w:val="30"/>
          <w:shd w:val="clear" w:color="auto" w:fill="FFFFFF"/>
        </w:rPr>
        <w:t>四、考试具体安排</w:t>
      </w:r>
    </w:p>
    <w:tbl>
      <w:tblPr>
        <w:tblStyle w:val="9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3003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pStyle w:val="4"/>
              <w:widowControl/>
              <w:spacing w:beforeAutospacing="0" w:afterAutospacing="0"/>
              <w:jc w:val="center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  <w:t>考生类别</w:t>
            </w:r>
          </w:p>
        </w:tc>
        <w:tc>
          <w:tcPr>
            <w:tcW w:w="3003" w:type="dxa"/>
          </w:tcPr>
          <w:p>
            <w:pPr>
              <w:pStyle w:val="4"/>
              <w:widowControl/>
              <w:spacing w:beforeAutospacing="0" w:afterAutospacing="0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  <w:t>考试科目</w:t>
            </w:r>
          </w:p>
        </w:tc>
        <w:tc>
          <w:tcPr>
            <w:tcW w:w="3033" w:type="dxa"/>
          </w:tcPr>
          <w:p>
            <w:pPr>
              <w:pStyle w:val="4"/>
              <w:widowControl/>
              <w:shd w:val="clear" w:color="auto" w:fill="FFFFFF"/>
              <w:spacing w:beforeAutospacing="0" w:afterAutospacing="0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  <w:t>考试时间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shd w:val="clear" w:color="auto" w:fill="FFFFFF"/>
              </w:rPr>
              <w:t>2021年12月18日</w:t>
            </w:r>
            <w:r>
              <w:rPr>
                <w:rFonts w:hint="eastAsia"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128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基层医疗卫生人员</w:t>
            </w:r>
          </w:p>
        </w:tc>
        <w:tc>
          <w:tcPr>
            <w:tcW w:w="300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文化素质</w:t>
            </w:r>
          </w:p>
        </w:tc>
        <w:tc>
          <w:tcPr>
            <w:tcW w:w="303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  <w:t>上午09:00-11:00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128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300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职业技能</w:t>
            </w:r>
          </w:p>
        </w:tc>
        <w:tc>
          <w:tcPr>
            <w:tcW w:w="303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  <w:t>下午13:00-18:00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3128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 w:line="400" w:lineRule="exact"/>
              <w:jc w:val="both"/>
              <w:textAlignment w:val="baseline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退役军人、下岗失业人员、农民工、高素质农民、以及企业员工和基层农技人员</w:t>
            </w:r>
          </w:p>
        </w:tc>
        <w:tc>
          <w:tcPr>
            <w:tcW w:w="300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职业能力适应性测试</w:t>
            </w:r>
          </w:p>
        </w:tc>
        <w:tc>
          <w:tcPr>
            <w:tcW w:w="303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  <w:t>上午09:00-11:00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3128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300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面试</w:t>
            </w:r>
          </w:p>
        </w:tc>
        <w:tc>
          <w:tcPr>
            <w:tcW w:w="3033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textAlignment w:val="baseline"/>
              <w:rPr>
                <w:rFonts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30"/>
                <w:szCs w:val="30"/>
                <w:shd w:val="clear" w:color="auto" w:fill="FFFFFF"/>
              </w:rPr>
              <w:t>下午13:00-18:00</w:t>
            </w:r>
          </w:p>
        </w:tc>
      </w:tr>
    </w:tbl>
    <w:p>
      <w:pPr>
        <w:pStyle w:val="4"/>
        <w:widowControl/>
        <w:spacing w:beforeAutospacing="0" w:afterAutospacing="0" w:line="525" w:lineRule="atLeast"/>
        <w:ind w:firstLine="645"/>
        <w:rPr>
          <w:rStyle w:val="6"/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Style w:val="6"/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五、考生需准备材料</w:t>
      </w:r>
    </w:p>
    <w:p>
      <w:pPr>
        <w:pStyle w:val="4"/>
        <w:widowControl/>
        <w:spacing w:beforeAutospacing="0" w:afterAutospacing="0" w:line="525" w:lineRule="atLeast"/>
        <w:ind w:firstLine="645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1、考生参考时请携带《2021年扩招专项工作招生考试准考证》、身份证原件，未携带准考证、身份证原件的考生不得参加考试。</w:t>
      </w:r>
    </w:p>
    <w:p>
      <w:pPr>
        <w:pStyle w:val="4"/>
        <w:widowControl/>
        <w:spacing w:beforeAutospacing="0" w:afterAutospacing="0" w:line="525" w:lineRule="atLeas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</w:rPr>
        <w:t>2、所有申请免试录取的考生应参加本次考试，避免因考生免试资格不合格而影响招生录取。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并于2021年11月20日前提供相应的证书原件和复印件, 填写《四川省2021年高职扩招专项工作免试录取考生申请表》交我院招生就业处。</w:t>
      </w:r>
    </w:p>
    <w:p>
      <w:pPr>
        <w:pStyle w:val="4"/>
        <w:widowControl/>
        <w:spacing w:beforeAutospacing="0" w:afterAutospacing="0" w:line="525" w:lineRule="atLeast"/>
        <w:ind w:firstLine="602" w:firstLineChars="200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六、疫情防控要求</w:t>
      </w:r>
    </w:p>
    <w:p>
      <w:pPr>
        <w:pStyle w:val="4"/>
        <w:widowControl/>
        <w:spacing w:beforeAutospacing="0" w:afterAutospacing="0" w:line="525" w:lineRule="atLeast"/>
        <w:ind w:firstLine="600" w:firstLineChars="200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1、乘坐公共交通时，全程佩戴口罩。</w:t>
      </w:r>
    </w:p>
    <w:p>
      <w:pPr>
        <w:pStyle w:val="4"/>
        <w:widowControl/>
        <w:spacing w:beforeAutospacing="0" w:afterAutospacing="0" w:line="525" w:lineRule="atLeast"/>
        <w:ind w:firstLine="600" w:firstLineChars="200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2、随时保持手卫生，避免接触可疑污染场所。</w:t>
      </w:r>
    </w:p>
    <w:p>
      <w:pPr>
        <w:pStyle w:val="4"/>
        <w:widowControl/>
        <w:spacing w:beforeAutospacing="0" w:afterAutospacing="0" w:line="525" w:lineRule="atLeast"/>
        <w:ind w:firstLine="600" w:firstLineChars="200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3、请考生新冠疫苗应接尽接。</w:t>
      </w:r>
    </w:p>
    <w:p>
      <w:pPr>
        <w:pStyle w:val="4"/>
        <w:widowControl/>
        <w:spacing w:beforeAutospacing="0" w:afterAutospacing="0" w:line="525" w:lineRule="atLeast"/>
        <w:ind w:firstLine="600" w:firstLineChars="200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4、考试当天或领取准考证时，进校考生需提交《达州中医药职业学院2021年扩招考试健康表》（见附件一），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达州市外的考生提供</w:t>
      </w: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48小时内核酸检测报告，出示健康码绿码、14天内大数据行程码。</w:t>
      </w:r>
    </w:p>
    <w:p>
      <w:pPr>
        <w:pStyle w:val="4"/>
        <w:widowControl/>
        <w:spacing w:beforeAutospacing="0" w:afterAutospacing="0" w:line="525" w:lineRule="atLeast"/>
        <w:ind w:firstLine="600" w:firstLineChars="200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5、考生在校期间全程佩戴口罩，遵守学校相关防疫规定。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Style w:val="6"/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Style w:val="6"/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七、其他事宜：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1、报考我院2021年高职扩招考试的考生请加QQ群167113486。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Style w:val="6"/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2、考试注意事项见附件二。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3、考生到校报到及考试期间食宿自理，为方便考生可现金或微信支付到我院食堂就餐。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4、考试期间各相关部门值班电话：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教务处：7232165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招生就业处：7232166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违纪举报电话：7233300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  <w:t>5、我院从不委托任何单位或个人代办招生事宜，有关招生录取问题，请直接与我院招生处联系，否则出现任何后果，我院概不负责。</w:t>
      </w: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textAlignment w:val="baseline"/>
        <w:rPr>
          <w:rFonts w:asciiTheme="majorEastAsia" w:hAnsiTheme="majorEastAsia" w:eastAsiaTheme="majorEastAsia" w:cstheme="majorEastAsia"/>
          <w:color w:val="333333"/>
          <w:sz w:val="30"/>
          <w:szCs w:val="30"/>
          <w:shd w:val="clear" w:color="auto" w:fill="FFFFFF"/>
        </w:rPr>
      </w:pPr>
    </w:p>
    <w:p>
      <w:pPr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ind w:right="-395" w:rightChars="-188"/>
        <w:jc w:val="left"/>
        <w:rPr>
          <w:rFonts w:ascii="方正小标宋简体" w:eastAsia="方正小标宋简体"/>
          <w:color w:val="000000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>附件一</w:t>
      </w:r>
    </w:p>
    <w:p>
      <w:pPr>
        <w:ind w:right="-395" w:rightChars="-188"/>
        <w:jc w:val="center"/>
        <w:rPr>
          <w:rFonts w:ascii="方正小标宋简体" w:eastAsia="方正小标宋简体"/>
          <w:color w:val="000000"/>
          <w:sz w:val="40"/>
        </w:rPr>
      </w:pPr>
      <w:r>
        <w:rPr>
          <w:rFonts w:hint="eastAsia" w:ascii="方正小标宋简体" w:eastAsia="方正小标宋简体"/>
          <w:color w:val="000000"/>
          <w:sz w:val="40"/>
        </w:rPr>
        <w:t>达州中医药职业学院2021年扩招考试健康表</w:t>
      </w:r>
    </w:p>
    <w:tbl>
      <w:tblPr>
        <w:tblStyle w:val="8"/>
        <w:tblW w:w="10320" w:type="dxa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0"/>
        <w:gridCol w:w="1120"/>
        <w:gridCol w:w="83"/>
        <w:gridCol w:w="132"/>
        <w:gridCol w:w="345"/>
        <w:gridCol w:w="120"/>
        <w:gridCol w:w="585"/>
        <w:gridCol w:w="270"/>
        <w:gridCol w:w="525"/>
        <w:gridCol w:w="450"/>
        <w:gridCol w:w="333"/>
        <w:gridCol w:w="327"/>
        <w:gridCol w:w="195"/>
        <w:gridCol w:w="405"/>
        <w:gridCol w:w="245"/>
        <w:gridCol w:w="70"/>
        <w:gridCol w:w="150"/>
        <w:gridCol w:w="660"/>
        <w:gridCol w:w="90"/>
        <w:gridCol w:w="285"/>
        <w:gridCol w:w="195"/>
        <w:gridCol w:w="405"/>
        <w:gridCol w:w="33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本人姓名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03" w:rightChars="49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毕业学校</w:t>
            </w: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家庭住址</w:t>
            </w:r>
          </w:p>
        </w:tc>
        <w:tc>
          <w:tcPr>
            <w:tcW w:w="46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本人相关情况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近14天是否离开当地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是否属于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2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是否曾前往或接触境外等疫情防控高、中风险地区或重点地区的人员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是否接触过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 否</w:t>
            </w:r>
            <w:r>
              <w:rPr>
                <w:rStyle w:val="11"/>
              </w:rPr>
              <w:sym w:font="Wingdings" w:char="00A8"/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 否</w:t>
            </w:r>
            <w:r>
              <w:rPr>
                <w:rStyle w:val="11"/>
              </w:rPr>
              <w:sym w:font="Wingdings" w:char="00A8"/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0"/>
                <w:rFonts w:hint="default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 否</w:t>
            </w:r>
            <w:r>
              <w:rPr>
                <w:rStyle w:val="10"/>
                <w:rFonts w:hint="default"/>
              </w:rPr>
              <w:sym w:font="Wingdings" w:char="00A8"/>
            </w:r>
          </w:p>
        </w:tc>
        <w:tc>
          <w:tcPr>
            <w:tcW w:w="2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0"/>
                <w:rFonts w:hint="default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 否</w:t>
            </w:r>
            <w:r>
              <w:rPr>
                <w:rStyle w:val="10"/>
                <w:rFonts w:hint="default"/>
              </w:rPr>
              <w:sym w:font="Wingdings" w:char="00A8"/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0"/>
                <w:rFonts w:hint="default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 否</w:t>
            </w:r>
            <w:r>
              <w:rPr>
                <w:rStyle w:val="10"/>
                <w:rFonts w:hint="default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近14天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去向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（离开过当地的人员填写）</w:t>
            </w:r>
          </w:p>
        </w:tc>
        <w:tc>
          <w:tcPr>
            <w:tcW w:w="42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" w:firstLineChars="100"/>
              <w:jc w:val="left"/>
              <w:rPr>
                <w:rFonts w:ascii="Times New Roman" w:hAnsi="Times New Roman" w:eastAsia="方正仿宋_GBK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8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  <w:t>离开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  <w:t>返回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42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" w:firstLineChars="100"/>
              <w:jc w:val="left"/>
              <w:rPr>
                <w:rFonts w:ascii="Times New Roman" w:hAnsi="Times New Roman" w:eastAsia="方正仿宋_GBK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" w:firstLineChars="100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本人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近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14天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健康状况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（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注明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日期</w:t>
            </w: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、每天所在地；如选“否”则需说明情况</w:t>
            </w:r>
            <w:r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  <w:t>）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 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 xml:space="preserve"> 12月4日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12月5日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12月6日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7日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12月8日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9日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10日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12月11日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12月12日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13日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14日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Style w:val="11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15日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12月16日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" w:char="00A8"/>
            </w:r>
            <w:r>
              <w:rPr>
                <w:rStyle w:val="10"/>
                <w:rFonts w:hint="default"/>
              </w:rPr>
              <w:t xml:space="preserve"> 否</w:t>
            </w:r>
            <w:r>
              <w:rPr>
                <w:rStyle w:val="11"/>
              </w:rPr>
              <w:sym w:font="Wingdings" w:char="00A8"/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12月 17日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省市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0"/>
                <w:szCs w:val="20"/>
              </w:rPr>
              <w:t>体温度数：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320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本人或共同生活人员需要说明的其它情况：</w:t>
            </w: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共同生活人员</w:t>
            </w:r>
          </w:p>
        </w:tc>
        <w:tc>
          <w:tcPr>
            <w:tcW w:w="18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关  系</w:t>
            </w:r>
          </w:p>
        </w:tc>
        <w:tc>
          <w:tcPr>
            <w:tcW w:w="68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共同生活人员相关情况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是否属于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是否曾前往疫情防控高、中风险地区或重点地区的人员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是否接触过</w:t>
            </w:r>
            <w:r>
              <w:rPr>
                <w:rFonts w:hint="eastAsia" w:ascii="Times New Roman" w:hAnsi="Times New Roman" w:eastAsia="方正仿宋简体"/>
                <w:b/>
                <w:bCs/>
                <w:sz w:val="22"/>
              </w:rPr>
              <w:t>确诊病例、疑似病例、无症状感染或正在接受集中医学观察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最近14天以来健康状况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（如选“否”，请写明情况）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 2" w:char="00A3"/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 2" w:char="00A3"/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 2" w:char="00A3"/>
            </w:r>
            <w:r>
              <w:rPr>
                <w:rStyle w:val="11"/>
              </w:rPr>
              <w:t>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 2" w:char="00A3"/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 2" w:char="00A3"/>
            </w:r>
            <w:r>
              <w:rPr>
                <w:rStyle w:val="11"/>
              </w:rPr>
              <w:t>：</w:t>
            </w:r>
            <w:r>
              <w:rPr>
                <w:rStyle w:val="11"/>
                <w:u w:val="single"/>
              </w:rPr>
              <w:t>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 2" w:char="00A3"/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 2" w:char="00A3"/>
            </w:r>
            <w:r>
              <w:rPr>
                <w:rStyle w:val="11"/>
              </w:rPr>
              <w:t>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sym w:font="Wingdings 2" w:char="00A3"/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sym w:font="Wingdings 2" w:char="00A3"/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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Style w:val="10"/>
                <w:rFonts w:hint="default"/>
                <w:u w:val="single"/>
              </w:rPr>
            </w:pPr>
            <w:r>
              <w:rPr>
                <w:rStyle w:val="10"/>
                <w:rFonts w:hint="default"/>
              </w:rPr>
              <w:t>是</w:t>
            </w:r>
            <w:r>
              <w:rPr>
                <w:rStyle w:val="11"/>
              </w:rPr>
              <w:t></w:t>
            </w:r>
          </w:p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Style w:val="10"/>
                <w:rFonts w:hint="default"/>
              </w:rPr>
              <w:t>否</w:t>
            </w:r>
            <w:r>
              <w:rPr>
                <w:rStyle w:val="11"/>
              </w:rPr>
              <w:t>：</w:t>
            </w:r>
            <w:r>
              <w:rPr>
                <w:rStyle w:val="11"/>
                <w:u w:val="single"/>
              </w:rPr>
              <w:t>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本人真实性承诺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2"/>
              </w:rPr>
              <w:t>（签名、手印）</w:t>
            </w:r>
          </w:p>
        </w:tc>
        <w:tc>
          <w:tcPr>
            <w:tcW w:w="745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4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4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根据《中华人民共和国传染病防治法》等法律法规规定，本人郑重承诺：以上所填写内容均真实，如有虚假，本人愿意承担相关法律责任。                                                               </w:t>
            </w:r>
          </w:p>
          <w:p>
            <w:pPr>
              <w:widowControl/>
              <w:spacing w:line="440" w:lineRule="exact"/>
              <w:ind w:firstLine="5061" w:firstLineChars="2109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5061" w:firstLineChars="2109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5061" w:firstLineChars="2109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320" w:firstLineChars="18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承诺人：  </w:t>
            </w:r>
          </w:p>
          <w:p>
            <w:pPr>
              <w:widowControl/>
              <w:spacing w:line="440" w:lineRule="exact"/>
              <w:ind w:firstLine="4800" w:firstLineChars="200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年月 日</w:t>
            </w:r>
          </w:p>
        </w:tc>
      </w:tr>
    </w:tbl>
    <w:p>
      <w:pPr>
        <w:spacing w:line="260" w:lineRule="exact"/>
        <w:ind w:left="948" w:hanging="948" w:hangingChars="395"/>
        <w:rPr>
          <w:rFonts w:ascii="仿宋_GB2312" w:eastAsia="仿宋_GB2312"/>
          <w:color w:val="000000"/>
          <w:sz w:val="24"/>
        </w:rPr>
      </w:pPr>
    </w:p>
    <w:p>
      <w:pPr>
        <w:spacing w:line="400" w:lineRule="exact"/>
        <w:ind w:left="1110" w:hanging="1110" w:hangingChars="395"/>
        <w:rPr>
          <w:rFonts w:ascii="Times New Roman" w:hAnsi="Times New Roman" w:eastAsia="仿宋_GB2312"/>
          <w:color w:val="000000"/>
          <w:sz w:val="28"/>
        </w:rPr>
      </w:pPr>
      <w:r>
        <w:rPr>
          <w:rFonts w:hint="eastAsia" w:ascii="仿宋_GB2312" w:eastAsia="仿宋_GB2312"/>
          <w:b/>
          <w:bCs/>
          <w:color w:val="000000"/>
          <w:sz w:val="28"/>
        </w:rPr>
        <w:t>备注</w:t>
      </w:r>
      <w:r>
        <w:rPr>
          <w:rFonts w:ascii="Times New Roman" w:hAnsi="Times New Roman" w:eastAsia="仿宋_GB2312"/>
          <w:b/>
          <w:bCs/>
          <w:color w:val="000000"/>
          <w:sz w:val="28"/>
        </w:rPr>
        <w:t>：</w:t>
      </w:r>
      <w:r>
        <w:rPr>
          <w:rFonts w:ascii="Times New Roman" w:hAnsi="Times New Roman" w:eastAsia="仿宋_GB2312"/>
          <w:color w:val="000000"/>
          <w:sz w:val="28"/>
        </w:rPr>
        <w:t>1.</w:t>
      </w:r>
      <w:r>
        <w:rPr>
          <w:rFonts w:hint="eastAsia" w:ascii="Times New Roman" w:hAnsi="Times New Roman" w:eastAsia="仿宋_GB2312"/>
          <w:color w:val="000000"/>
          <w:sz w:val="28"/>
        </w:rPr>
        <w:t xml:space="preserve"> 请考生</w:t>
      </w:r>
      <w:r>
        <w:rPr>
          <w:rFonts w:ascii="Times New Roman" w:hAnsi="Times New Roman" w:eastAsia="仿宋_GB2312"/>
          <w:color w:val="000000"/>
          <w:sz w:val="28"/>
        </w:rPr>
        <w:t>应如实填写健康卡</w:t>
      </w:r>
      <w:r>
        <w:rPr>
          <w:rFonts w:hint="eastAsia" w:ascii="Times New Roman" w:hAnsi="Times New Roman" w:eastAsia="仿宋_GB2312"/>
          <w:color w:val="000000"/>
          <w:sz w:val="28"/>
        </w:rPr>
        <w:t>。</w:t>
      </w:r>
    </w:p>
    <w:p>
      <w:pPr>
        <w:numPr>
          <w:ilvl w:val="0"/>
          <w:numId w:val="2"/>
        </w:numPr>
        <w:spacing w:line="400" w:lineRule="exact"/>
        <w:ind w:firstLine="873" w:firstLineChars="312"/>
        <w:rPr>
          <w:rFonts w:ascii="Times New Roman" w:hAnsi="Times New Roman" w:eastAsia="仿宋_GB2312"/>
          <w:color w:val="000000"/>
          <w:sz w:val="28"/>
        </w:rPr>
      </w:pPr>
      <w:r>
        <w:rPr>
          <w:rFonts w:ascii="Times New Roman" w:hAnsi="Times New Roman" w:eastAsia="仿宋_GB2312"/>
          <w:color w:val="000000"/>
          <w:sz w:val="28"/>
        </w:rPr>
        <w:t>健康卡应由本人或监护人签字承诺。</w:t>
      </w:r>
    </w:p>
    <w:p>
      <w:pPr>
        <w:numPr>
          <w:ilvl w:val="0"/>
          <w:numId w:val="2"/>
        </w:numPr>
        <w:spacing w:line="400" w:lineRule="exact"/>
        <w:ind w:firstLine="873" w:firstLineChars="312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28"/>
        </w:rPr>
        <w:t>如出现可疑症状（如发热、咳嗽、咽痛等），请及时就医，严禁带病入校。</w:t>
      </w:r>
    </w:p>
    <w:p>
      <w:pPr>
        <w:spacing w:line="400" w:lineRule="exact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br w:type="page"/>
      </w:r>
      <w:r>
        <w:rPr>
          <w:rFonts w:hint="eastAsia" w:ascii="方正小标宋简体" w:eastAsia="方正小标宋简体"/>
          <w:color w:val="000000"/>
          <w:sz w:val="28"/>
          <w:szCs w:val="28"/>
        </w:rPr>
        <w:t>附件二</w:t>
      </w: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考试注意事项：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1．考生必须同时凭《身份证》、《准考证》。若特殊情况丢失上述证件的，需提供其他身份证明材料，经考点主考签字同意后方可考试，否则不能进入考场参加考试。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2．考生须严格遵守考试纪律，应于开考前30分钟，到达指定的考场候考，缺考或开考后迟到15分钟以上的考生，按自动放弃处理。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3．考生不得穿制服或穿带有特别标志的服装。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4．考生要遵守专业测试程序，自觉接受工作人员的指导和管理。参考前在候考室等候，未经工作人员允许，不得擅自离开。候考期间，应保持安静，不得喧哗。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5．面试（测试）时，由引导员带领进入面试室。考生除准考证、本人身份证，不能携带任何无关物品进入面试室。进入面试室后，不得向考官透露个人身份信息（如本人及父母姓名、住址等），否则视同舞弊。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6．进入面试室后，出示准考证、本人身份证核对，并按照指令在名单上签字和抽取面试（测试）试题。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7．面试（测试）结束后，请将面试（测试）题交还工作人员，并随引导员离开考场。不得返回候考室。不准向主考教师和监考员查询成绩，也不准在考室周围逗留或谈论。存于候考室的物品由引导员移交给考生。</w:t>
      </w: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8、2021年达州中医药职业学院 高职扩招考试大纲链接：</w:t>
      </w:r>
      <w:r>
        <w:rPr>
          <w:rFonts w:hint="eastAsia" w:ascii="宋体" w:hAnsi="宋体" w:eastAsia="宋体" w:cs="宋体"/>
          <w:sz w:val="24"/>
        </w:rPr>
        <w:t>http://jwc.dzcmc.com/show_news.php?ID=1081</w:t>
      </w:r>
    </w:p>
    <w:sectPr>
      <w:headerReference r:id="rId3" w:type="default"/>
      <w:footerReference r:id="rId4" w:type="default"/>
      <w:pgSz w:w="11906" w:h="16838"/>
      <w:pgMar w:top="1440" w:right="1286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6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华文行楷" w:hAnsi="华文行楷" w:eastAsia="华文行楷" w:cs="华文行楷"/>
        <w:sz w:val="20"/>
        <w:szCs w:val="20"/>
        <w:lang w:val="en-US" w:eastAsia="zh-CN"/>
      </w:rPr>
    </w:pPr>
    <w:r>
      <w:rPr>
        <w:rFonts w:hint="eastAsia" w:ascii="华文行楷" w:hAnsi="华文行楷" w:eastAsia="华文行楷" w:cs="华文行楷"/>
        <w:sz w:val="20"/>
        <w:szCs w:val="20"/>
        <w:lang w:val="en-US" w:eastAsia="zh-CN"/>
      </w:rPr>
      <w:t>达州中医药职业学院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92AA"/>
    <w:multiLevelType w:val="singleLevel"/>
    <w:tmpl w:val="7E7D92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FA1347"/>
    <w:multiLevelType w:val="singleLevel"/>
    <w:tmpl w:val="7FFA134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AA65669"/>
    <w:rsid w:val="001C7ADB"/>
    <w:rsid w:val="00246AC2"/>
    <w:rsid w:val="004610B0"/>
    <w:rsid w:val="00536D47"/>
    <w:rsid w:val="006022C8"/>
    <w:rsid w:val="007A0B94"/>
    <w:rsid w:val="00855CC4"/>
    <w:rsid w:val="00906307"/>
    <w:rsid w:val="00A27CF2"/>
    <w:rsid w:val="00AA7C81"/>
    <w:rsid w:val="00BD4127"/>
    <w:rsid w:val="00D17F9A"/>
    <w:rsid w:val="00DC3A85"/>
    <w:rsid w:val="00E44189"/>
    <w:rsid w:val="03650A0A"/>
    <w:rsid w:val="03B841BE"/>
    <w:rsid w:val="04662976"/>
    <w:rsid w:val="047E767C"/>
    <w:rsid w:val="04EA6742"/>
    <w:rsid w:val="058B54C2"/>
    <w:rsid w:val="05E15B50"/>
    <w:rsid w:val="07531DD3"/>
    <w:rsid w:val="0AA3732E"/>
    <w:rsid w:val="0B644ECE"/>
    <w:rsid w:val="0E833DCE"/>
    <w:rsid w:val="12592202"/>
    <w:rsid w:val="12A50188"/>
    <w:rsid w:val="12E317A1"/>
    <w:rsid w:val="13401596"/>
    <w:rsid w:val="148C4148"/>
    <w:rsid w:val="15A670EA"/>
    <w:rsid w:val="15CF23B6"/>
    <w:rsid w:val="15CF544A"/>
    <w:rsid w:val="183E78AE"/>
    <w:rsid w:val="195737CD"/>
    <w:rsid w:val="1AE8475B"/>
    <w:rsid w:val="1AF71320"/>
    <w:rsid w:val="1C66443E"/>
    <w:rsid w:val="1F07309B"/>
    <w:rsid w:val="1F68154F"/>
    <w:rsid w:val="1FA07FFC"/>
    <w:rsid w:val="20CB77A8"/>
    <w:rsid w:val="23A83246"/>
    <w:rsid w:val="23FF0BD2"/>
    <w:rsid w:val="257D6152"/>
    <w:rsid w:val="26C37C95"/>
    <w:rsid w:val="28CD201E"/>
    <w:rsid w:val="29642268"/>
    <w:rsid w:val="2AB45314"/>
    <w:rsid w:val="2C461074"/>
    <w:rsid w:val="325B39CB"/>
    <w:rsid w:val="32EB5700"/>
    <w:rsid w:val="339C319A"/>
    <w:rsid w:val="34921F73"/>
    <w:rsid w:val="35752C84"/>
    <w:rsid w:val="393D026D"/>
    <w:rsid w:val="3A2B55B9"/>
    <w:rsid w:val="3A694370"/>
    <w:rsid w:val="3AA65669"/>
    <w:rsid w:val="3D375794"/>
    <w:rsid w:val="3D425ABB"/>
    <w:rsid w:val="3DE25254"/>
    <w:rsid w:val="40874005"/>
    <w:rsid w:val="40E07409"/>
    <w:rsid w:val="40F443FC"/>
    <w:rsid w:val="428C6C31"/>
    <w:rsid w:val="439D09B7"/>
    <w:rsid w:val="444557BC"/>
    <w:rsid w:val="490A7FE7"/>
    <w:rsid w:val="4E557D0D"/>
    <w:rsid w:val="51D67E80"/>
    <w:rsid w:val="52A048BD"/>
    <w:rsid w:val="543730D6"/>
    <w:rsid w:val="57926215"/>
    <w:rsid w:val="58FD146E"/>
    <w:rsid w:val="59975EBF"/>
    <w:rsid w:val="5BFC3A19"/>
    <w:rsid w:val="5CE05E58"/>
    <w:rsid w:val="5D36124A"/>
    <w:rsid w:val="5FDD2242"/>
    <w:rsid w:val="608A0959"/>
    <w:rsid w:val="651B5BC0"/>
    <w:rsid w:val="65FC29E3"/>
    <w:rsid w:val="69081179"/>
    <w:rsid w:val="69A87E29"/>
    <w:rsid w:val="6E0A7909"/>
    <w:rsid w:val="6FF42266"/>
    <w:rsid w:val="739C7B58"/>
    <w:rsid w:val="7487792D"/>
    <w:rsid w:val="76BA36E0"/>
    <w:rsid w:val="76E2215D"/>
    <w:rsid w:val="79CC57CD"/>
    <w:rsid w:val="7AF86F2A"/>
    <w:rsid w:val="7E8A5266"/>
    <w:rsid w:val="7F7737EF"/>
    <w:rsid w:val="7F8F2ED8"/>
    <w:rsid w:val="7FF52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428</Words>
  <Characters>2440</Characters>
  <Lines>20</Lines>
  <Paragraphs>5</Paragraphs>
  <ScaleCrop>false</ScaleCrop>
  <LinksUpToDate>false</LinksUpToDate>
  <CharactersWithSpaces>2863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2020-11-09T01:30:00Z</dcterms:created>
  <dc:creator>rxq</dc:creator>
  <cp:lastModifiedBy>Lenovo</cp:lastModifiedBy>
  <cp:lastPrinted>2021-11-19T02:40:00Z</cp:lastPrinted>
  <dcterms:modified xsi:type="dcterms:W3CDTF">2021-11-19T04:10:03Z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31310F85E5E041D98B2D0B324665E6E8</vt:lpwstr>
  </property>
</Properties>
</file>