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jc w:val="center"/>
        <w:textAlignment w:val="auto"/>
        <w:rPr>
          <w:rFonts w:hint="eastAsia" w:eastAsia="宋体"/>
          <w:b/>
          <w:bCs/>
          <w:sz w:val="28"/>
          <w:szCs w:val="28"/>
          <w:lang w:eastAsia="zh-CN"/>
        </w:rPr>
      </w:pPr>
      <w:bookmarkStart w:id="0" w:name="bookmark0"/>
      <w:bookmarkStart w:id="1" w:name="bookmark1"/>
      <w:bookmarkStart w:id="2" w:name="bookmark3"/>
      <w:r>
        <w:rPr>
          <w:rFonts w:hint="eastAsia"/>
          <w:b/>
          <w:bCs/>
          <w:sz w:val="44"/>
          <w:szCs w:val="44"/>
          <w:lang w:val="en-US" w:eastAsia="zh-CN"/>
        </w:rPr>
        <w:t>达州中医药职业学院</w:t>
      </w:r>
      <w:r>
        <w:rPr>
          <w:b/>
          <w:bCs/>
          <w:sz w:val="44"/>
          <w:szCs w:val="44"/>
        </w:rPr>
        <w:t>专业建设</w:t>
      </w:r>
      <w:bookmarkEnd w:id="0"/>
      <w:bookmarkEnd w:id="1"/>
      <w:bookmarkEnd w:id="2"/>
      <w:bookmarkStart w:id="3" w:name="bookmark7"/>
      <w:r>
        <w:rPr>
          <w:rFonts w:hint="eastAsia" w:eastAsia="宋体"/>
          <w:b/>
          <w:bCs/>
          <w:sz w:val="44"/>
          <w:szCs w:val="44"/>
          <w:lang w:val="en-US" w:eastAsia="zh-CN"/>
        </w:rPr>
        <w:t>管理办法</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firstLine="560" w:firstLineChars="200"/>
        <w:jc w:val="center"/>
        <w:textAlignment w:val="auto"/>
        <w:rPr>
          <w:rFonts w:hint="eastAsia" w:eastAsia="宋体"/>
          <w:sz w:val="28"/>
          <w:szCs w:val="28"/>
          <w:lang w:val="en-US" w:eastAsia="zh-CN"/>
        </w:rPr>
      </w:pPr>
      <w:r>
        <w:rPr>
          <w:rFonts w:hint="eastAsia" w:eastAsia="宋体"/>
          <w:sz w:val="28"/>
          <w:szCs w:val="28"/>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firstLine="560" w:firstLineChars="200"/>
        <w:textAlignment w:val="auto"/>
        <w:rPr>
          <w:rFonts w:hint="eastAsia" w:eastAsia="宋体"/>
          <w:sz w:val="28"/>
          <w:szCs w:val="28"/>
          <w:lang w:val="en-US" w:eastAsia="zh-CN"/>
        </w:rPr>
      </w:pPr>
      <w:r>
        <w:rPr>
          <w:rFonts w:hint="eastAsia" w:eastAsia="宋体"/>
          <w:sz w:val="28"/>
          <w:szCs w:val="28"/>
          <w:lang w:val="en-US" w:eastAsia="zh-CN"/>
        </w:rPr>
        <w:t>第一条 为进一步规范学校专业设置，加强专业建设管理，根据教育部《普通高等学校高等职业教育（专科）专业设置管理办法》（教职成〔2015〕10号），制定本办法</w:t>
      </w:r>
      <w:r>
        <w:rPr>
          <w:color w:val="000000"/>
          <w:spacing w:val="0"/>
          <w:w w:val="100"/>
          <w:position w:val="0"/>
          <w:sz w:val="28"/>
          <w:szCs w:val="28"/>
        </w:rPr>
        <w:t>用以指导</w:t>
      </w:r>
      <w:r>
        <w:rPr>
          <w:rFonts w:hint="eastAsia" w:eastAsia="宋体"/>
          <w:color w:val="000000"/>
          <w:spacing w:val="0"/>
          <w:w w:val="100"/>
          <w:position w:val="0"/>
          <w:sz w:val="28"/>
          <w:szCs w:val="28"/>
          <w:lang w:val="en-US" w:eastAsia="zh-CN"/>
        </w:rPr>
        <w:t>专业</w:t>
      </w:r>
      <w:r>
        <w:rPr>
          <w:color w:val="000000"/>
          <w:spacing w:val="0"/>
          <w:w w:val="100"/>
          <w:position w:val="0"/>
          <w:sz w:val="28"/>
          <w:szCs w:val="28"/>
        </w:rPr>
        <w:t>建设工作</w:t>
      </w:r>
      <w:r>
        <w:rPr>
          <w:rFonts w:hint="eastAsia" w:eastAsia="宋体"/>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firstLine="560" w:firstLineChars="200"/>
        <w:textAlignment w:val="auto"/>
        <w:rPr>
          <w:rFonts w:hint="eastAsia" w:eastAsia="宋体"/>
          <w:sz w:val="28"/>
          <w:szCs w:val="28"/>
          <w:lang w:val="en-US" w:eastAsia="zh-CN"/>
        </w:rPr>
      </w:pPr>
      <w:r>
        <w:rPr>
          <w:rFonts w:hint="eastAsia" w:eastAsia="宋体"/>
          <w:sz w:val="28"/>
          <w:szCs w:val="28"/>
          <w:lang w:val="en-US" w:eastAsia="zh-CN"/>
        </w:rPr>
        <w:t>第二条 本办法所指专业建设管理含专业新增、调整、改造，以及重点、骨干、一流、特高等专业建设等。</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firstLine="560" w:firstLineChars="200"/>
        <w:textAlignment w:val="auto"/>
        <w:rPr>
          <w:rFonts w:hint="eastAsia" w:eastAsia="宋体"/>
          <w:sz w:val="28"/>
          <w:szCs w:val="28"/>
          <w:lang w:val="en-US" w:eastAsia="zh-CN"/>
        </w:rPr>
      </w:pPr>
      <w:r>
        <w:rPr>
          <w:rFonts w:hint="eastAsia" w:eastAsia="宋体"/>
          <w:sz w:val="28"/>
          <w:szCs w:val="28"/>
          <w:lang w:val="en-US" w:eastAsia="zh-CN"/>
        </w:rPr>
        <w:t>第三条 学校专业建设应坚持以服务发展为宗旨，以促进就业为导向，遵循职业教育规律和高素质技术技能人才成长规律，主动适应经济社会发展，特别是技术进步和生产方式变革以及社会公共服务的需要，适应各地、各行业对技术技能人才培养的需要，适应学生全面可持续发展的需要。根据学校办学实际和区域产业发展情况，持续优化资源配置和专业结构。</w:t>
      </w:r>
    </w:p>
    <w:p>
      <w:pPr>
        <w:keepNext w:val="0"/>
        <w:keepLines w:val="0"/>
        <w:pageBreakBefore w:val="0"/>
        <w:widowControl w:val="0"/>
        <w:kinsoku/>
        <w:wordWrap/>
        <w:overflowPunct/>
        <w:topLinePunct w:val="0"/>
        <w:autoSpaceDE/>
        <w:autoSpaceDN/>
        <w:bidi w:val="0"/>
        <w:adjustRightInd w:val="0"/>
        <w:snapToGrid w:val="0"/>
        <w:spacing w:before="181" w:beforeLines="50" w:after="181" w:afterLines="50" w:line="360" w:lineRule="auto"/>
        <w:ind w:firstLine="560" w:firstLineChars="200"/>
        <w:textAlignment w:val="auto"/>
        <w:rPr>
          <w:rFonts w:hint="eastAsia" w:eastAsia="宋体"/>
          <w:sz w:val="28"/>
          <w:szCs w:val="28"/>
          <w:lang w:val="en-US" w:eastAsia="zh-CN"/>
        </w:rPr>
      </w:pPr>
      <w:r>
        <w:rPr>
          <w:rFonts w:hint="eastAsia" w:eastAsia="宋体"/>
          <w:sz w:val="28"/>
          <w:szCs w:val="28"/>
          <w:lang w:val="en-US" w:eastAsia="zh-CN"/>
        </w:rPr>
        <w:t>第四条  专业建设的内容包括专业定位与规划，师资队伍，教学改革，教学条件，人才培养质量等。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center"/>
        <w:textAlignment w:val="auto"/>
        <w:rPr>
          <w:sz w:val="28"/>
          <w:szCs w:val="28"/>
        </w:rPr>
      </w:pPr>
      <w:r>
        <w:rPr>
          <w:sz w:val="28"/>
          <w:szCs w:val="28"/>
        </w:rPr>
        <w:t>第二章  管理体系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第五条</w:t>
      </w:r>
      <w:r>
        <w:rPr>
          <w:sz w:val="28"/>
          <w:szCs w:val="28"/>
        </w:rPr>
        <w:t> </w:t>
      </w:r>
      <w:r>
        <w:rPr>
          <w:rFonts w:hint="default"/>
          <w:sz w:val="28"/>
          <w:szCs w:val="28"/>
        </w:rPr>
        <w:t> </w:t>
      </w:r>
      <w:r>
        <w:rPr>
          <w:sz w:val="28"/>
          <w:szCs w:val="28"/>
        </w:rPr>
        <w:t>专业建设实行学校和</w:t>
      </w:r>
      <w:r>
        <w:rPr>
          <w:rFonts w:hint="eastAsia" w:eastAsia="宋体"/>
          <w:sz w:val="28"/>
          <w:szCs w:val="28"/>
          <w:lang w:val="en-US" w:eastAsia="zh-CN"/>
        </w:rPr>
        <w:t>教学系</w:t>
      </w:r>
      <w:r>
        <w:rPr>
          <w:sz w:val="28"/>
          <w:szCs w:val="28"/>
        </w:rPr>
        <w:t>两级管理。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第六条 </w:t>
      </w:r>
      <w:r>
        <w:rPr>
          <w:rFonts w:hint="default"/>
          <w:sz w:val="28"/>
          <w:szCs w:val="28"/>
        </w:rPr>
        <w:t>学校层面由教务处负责统筹规划和宏观指导，主要职责：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（一）制定学校专业建设规划；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（二）对各</w:t>
      </w:r>
      <w:r>
        <w:rPr>
          <w:rFonts w:hint="eastAsia" w:eastAsia="宋体"/>
          <w:sz w:val="28"/>
          <w:szCs w:val="28"/>
          <w:lang w:val="en-US" w:eastAsia="zh-CN"/>
        </w:rPr>
        <w:t>教学系</w:t>
      </w:r>
      <w:r>
        <w:rPr>
          <w:rFonts w:hint="default"/>
          <w:sz w:val="28"/>
          <w:szCs w:val="28"/>
        </w:rPr>
        <w:t>专业建设情况进行检查、督导；</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（三）组织新专业申报工作；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（四）组织各类各级专业建设项目的申报和建设管理工作；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（五）组织开展专业认证与评估工作，及学校层面其他专业建设工作。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第七条</w:t>
      </w:r>
      <w:r>
        <w:rPr>
          <w:rFonts w:hint="default"/>
          <w:sz w:val="28"/>
          <w:szCs w:val="28"/>
        </w:rPr>
        <w:t>  </w:t>
      </w:r>
      <w:r>
        <w:rPr>
          <w:rFonts w:hint="eastAsia" w:eastAsia="宋体"/>
          <w:sz w:val="28"/>
          <w:szCs w:val="28"/>
          <w:lang w:val="en-US" w:eastAsia="zh-CN"/>
        </w:rPr>
        <w:t>教学系</w:t>
      </w:r>
      <w:r>
        <w:rPr>
          <w:rFonts w:hint="default"/>
          <w:sz w:val="28"/>
          <w:szCs w:val="28"/>
        </w:rPr>
        <w:t>是专业建设的主体，</w:t>
      </w:r>
      <w:r>
        <w:rPr>
          <w:rFonts w:hint="eastAsia" w:eastAsia="宋体"/>
          <w:sz w:val="28"/>
          <w:szCs w:val="28"/>
          <w:lang w:val="en-US" w:eastAsia="zh-CN"/>
        </w:rPr>
        <w:t>系主任</w:t>
      </w:r>
      <w:r>
        <w:rPr>
          <w:rFonts w:hint="default"/>
          <w:sz w:val="28"/>
          <w:szCs w:val="28"/>
        </w:rPr>
        <w:t>是专业建设第一责任人。主要职责是：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（一）根据学校专业发展布局与结构调整要求，制定本</w:t>
      </w:r>
      <w:r>
        <w:rPr>
          <w:rFonts w:hint="eastAsia" w:eastAsia="宋体"/>
          <w:sz w:val="28"/>
          <w:szCs w:val="28"/>
          <w:lang w:val="en-US" w:eastAsia="zh-CN"/>
        </w:rPr>
        <w:t>系</w:t>
      </w:r>
      <w:r>
        <w:rPr>
          <w:rFonts w:hint="default"/>
          <w:sz w:val="28"/>
          <w:szCs w:val="28"/>
        </w:rPr>
        <w:t>的专业发展规划及建设计划，并组织实施；</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（二）负责本</w:t>
      </w:r>
      <w:r>
        <w:rPr>
          <w:rFonts w:hint="eastAsia" w:eastAsia="宋体"/>
          <w:sz w:val="28"/>
          <w:szCs w:val="28"/>
          <w:lang w:val="en-US" w:eastAsia="zh-CN"/>
        </w:rPr>
        <w:t>系</w:t>
      </w:r>
      <w:r>
        <w:rPr>
          <w:rFonts w:hint="default"/>
          <w:sz w:val="28"/>
          <w:szCs w:val="28"/>
        </w:rPr>
        <w:t>各专业建设项目的申报、建设和管理工作；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（三）按照学校专业评估的要求组织开展专业检查评估。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第八条</w:t>
      </w:r>
      <w:r>
        <w:rPr>
          <w:rFonts w:hint="default"/>
          <w:sz w:val="28"/>
          <w:szCs w:val="28"/>
        </w:rPr>
        <w:t>  学校设立</w:t>
      </w:r>
      <w:r>
        <w:rPr>
          <w:rFonts w:hint="eastAsia" w:eastAsia="宋体"/>
          <w:sz w:val="28"/>
          <w:szCs w:val="28"/>
          <w:lang w:val="en-US" w:eastAsia="zh-CN"/>
        </w:rPr>
        <w:t>教学指导委员会</w:t>
      </w:r>
      <w:r>
        <w:rPr>
          <w:rFonts w:hint="default"/>
          <w:sz w:val="28"/>
          <w:szCs w:val="28"/>
        </w:rPr>
        <w:t>根据国家、部门和地方的人才需求、现有专业设置情况、学校发展需要，为学校专业建设提供决策和咨询意见。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center"/>
        <w:textAlignment w:val="auto"/>
        <w:rPr>
          <w:sz w:val="28"/>
          <w:szCs w:val="28"/>
        </w:rPr>
      </w:pPr>
      <w:r>
        <w:rPr>
          <w:sz w:val="28"/>
          <w:szCs w:val="28"/>
        </w:rPr>
        <w:t>第三章  专业设置与建设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第九条</w:t>
      </w:r>
      <w:r>
        <w:rPr>
          <w:sz w:val="28"/>
          <w:szCs w:val="28"/>
          <w:lang w:val="en-US"/>
        </w:rPr>
        <w:t> </w:t>
      </w:r>
      <w:r>
        <w:rPr>
          <w:sz w:val="28"/>
          <w:szCs w:val="28"/>
        </w:rPr>
        <w:t>专业设置的原则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一）专业按照“一个专业群，下设若干个专业”的思路形成两级架构，专业群组群逻辑需考虑群内专业对接的产业链和生产环节、学生的就业岗位、职业能力，专业（专业群）的名称应为教育部《普通高等学校高等职业教育</w:t>
      </w:r>
      <w:r>
        <w:rPr>
          <w:rFonts w:hint="default"/>
          <w:sz w:val="28"/>
          <w:szCs w:val="28"/>
          <w:lang w:val="en-US"/>
        </w:rPr>
        <w:t>(</w:t>
      </w:r>
      <w:r>
        <w:rPr>
          <w:rFonts w:hint="default"/>
          <w:sz w:val="28"/>
          <w:szCs w:val="28"/>
        </w:rPr>
        <w:t>专科）专业目录》最新版中的专业名称；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（二）每个专业群（专业）应设置由来自行业、企业和教育领域的专家组成的专业建设指导委员会，委员会成员一般不少于</w:t>
      </w:r>
      <w:r>
        <w:rPr>
          <w:rFonts w:hint="default"/>
          <w:sz w:val="28"/>
          <w:szCs w:val="28"/>
          <w:lang w:val="en-US"/>
        </w:rPr>
        <w:t>9</w:t>
      </w:r>
      <w:r>
        <w:rPr>
          <w:rFonts w:hint="default"/>
          <w:sz w:val="28"/>
          <w:szCs w:val="28"/>
        </w:rPr>
        <w:t>人，委员会主任由来自行业、企业的专家担任，成员中至少有一半以上来自行业、企业；每个专业群（专业）应设置来自我校及行企业的双带头人。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w:t>
      </w:r>
      <w:r>
        <w:rPr>
          <w:rFonts w:hint="eastAsia" w:eastAsia="宋体"/>
          <w:sz w:val="28"/>
          <w:szCs w:val="28"/>
          <w:lang w:val="en-US" w:eastAsia="zh-CN"/>
        </w:rPr>
        <w:t>三</w:t>
      </w:r>
      <w:r>
        <w:rPr>
          <w:rFonts w:hint="default"/>
          <w:sz w:val="28"/>
          <w:szCs w:val="28"/>
        </w:rPr>
        <w:t>）每个专业群（专业）每年均应开展专业调研工作，形成有数据、有分析、有结论、有建议的高质量年度专业调研报告，并以此为依据，及时调整与完善专业人才培养工作；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w:t>
      </w:r>
      <w:r>
        <w:rPr>
          <w:rFonts w:hint="eastAsia" w:eastAsia="宋体"/>
          <w:sz w:val="28"/>
          <w:szCs w:val="28"/>
          <w:lang w:val="en-US" w:eastAsia="zh-CN"/>
        </w:rPr>
        <w:t>四</w:t>
      </w:r>
      <w:r>
        <w:rPr>
          <w:rFonts w:hint="default"/>
          <w:sz w:val="28"/>
          <w:szCs w:val="28"/>
        </w:rPr>
        <w:t>）每个专业群（专业）均应制定专业发展五年规划，并要有明确的建设目标和建设举措；</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w:t>
      </w:r>
      <w:r>
        <w:rPr>
          <w:rFonts w:hint="eastAsia" w:eastAsia="宋体"/>
          <w:sz w:val="28"/>
          <w:szCs w:val="28"/>
          <w:lang w:val="en-US" w:eastAsia="zh-CN"/>
        </w:rPr>
        <w:t>五</w:t>
      </w:r>
      <w:r>
        <w:rPr>
          <w:rFonts w:hint="default"/>
          <w:sz w:val="28"/>
          <w:szCs w:val="28"/>
        </w:rPr>
        <w:t>）专业的设置应符合教育部和</w:t>
      </w:r>
      <w:r>
        <w:rPr>
          <w:rFonts w:hint="eastAsia" w:eastAsia="宋体"/>
          <w:sz w:val="28"/>
          <w:szCs w:val="28"/>
          <w:lang w:val="en-US" w:eastAsia="zh-CN"/>
        </w:rPr>
        <w:t>四川</w:t>
      </w:r>
      <w:r>
        <w:rPr>
          <w:rFonts w:hint="default"/>
          <w:sz w:val="28"/>
          <w:szCs w:val="28"/>
        </w:rPr>
        <w:t>省教育厅相关文件的规定。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第十条</w:t>
      </w:r>
      <w:r>
        <w:rPr>
          <w:rFonts w:hint="default"/>
          <w:sz w:val="28"/>
          <w:szCs w:val="28"/>
        </w:rPr>
        <w:t>  新专业申报基本条件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（一）符合学校专业建设规划，有一定的建设基础，有比较稳定的人才需求，有清晰的行业背景支撑，有比较稳定的人才需求并在充分调研的基础上提出预测结论；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（二）有明确的培养目标、业务范围、知识结构、能力目标和素质要求</w:t>
      </w:r>
      <w:r>
        <w:rPr>
          <w:rFonts w:hint="default"/>
          <w:sz w:val="28"/>
          <w:szCs w:val="28"/>
          <w:lang w:val="en-US"/>
        </w:rPr>
        <w:t>, </w:t>
      </w:r>
      <w:r>
        <w:rPr>
          <w:rFonts w:hint="default"/>
          <w:sz w:val="28"/>
          <w:szCs w:val="28"/>
        </w:rPr>
        <w:t>有比较科学的培养方案，有比较完整的理论与实践相结合的课程体系，制定出符合专业培养目标要求的人才培养方案和其他必需的教学文件；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（三）有完成专业人才培养所必需的教师队伍和教学辅助人员，且“双师型”教师占有一定比例；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（四）具备该专业必需的经费、教学用房、图书资料、仪器设备、实习基地等办学条件，有保障专业可持续发展的相关制度；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（五）为保证高职专业的办学条件和人才培养质量，全校年度增设的新专业原则上不超过</w:t>
      </w:r>
      <w:r>
        <w:rPr>
          <w:rFonts w:hint="default"/>
          <w:sz w:val="28"/>
          <w:szCs w:val="28"/>
          <w:lang w:val="en-US"/>
        </w:rPr>
        <w:t>3</w:t>
      </w:r>
      <w:r>
        <w:rPr>
          <w:rFonts w:hint="default"/>
          <w:sz w:val="28"/>
          <w:szCs w:val="28"/>
        </w:rPr>
        <w:t>个。</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第十一条</w:t>
      </w:r>
      <w:r>
        <w:rPr>
          <w:rFonts w:hint="default"/>
          <w:sz w:val="28"/>
          <w:szCs w:val="28"/>
        </w:rPr>
        <w:t>  新专业申报程序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（一）教务处根据学校发展规划，综合考虑专业设置现状、招生、师资、实训条件、产教结合以及就业情况，下发申报新专业的通知。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（二）各</w:t>
      </w:r>
      <w:r>
        <w:rPr>
          <w:rFonts w:hint="eastAsia" w:eastAsia="宋体"/>
          <w:sz w:val="28"/>
          <w:szCs w:val="28"/>
          <w:lang w:val="en-US" w:eastAsia="zh-CN"/>
        </w:rPr>
        <w:t>教学系部</w:t>
      </w:r>
      <w:r>
        <w:rPr>
          <w:rFonts w:hint="default"/>
          <w:sz w:val="28"/>
          <w:szCs w:val="28"/>
        </w:rPr>
        <w:t>根据专业发展规划，在充分的人才需求调研和专业指导委员会专家论证的基础上提出新专业设置方案，并按要求准备申请材料，在每年</w:t>
      </w:r>
      <w:r>
        <w:rPr>
          <w:rFonts w:hint="eastAsia" w:eastAsia="宋体"/>
          <w:sz w:val="28"/>
          <w:szCs w:val="28"/>
          <w:lang w:val="en-US" w:eastAsia="zh-CN"/>
        </w:rPr>
        <w:t>7</w:t>
      </w:r>
      <w:r>
        <w:rPr>
          <w:rFonts w:hint="default"/>
          <w:sz w:val="28"/>
          <w:szCs w:val="28"/>
        </w:rPr>
        <w:t>月底报教务处。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（三）教务处组织学校专业设置评议专家组对申报新专业的材料进行论证和审定，并提出审定意见。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（四）通过专业设置评议专家组评定的新专业申报材料，报校长办公会审议。教务处根据校长办公会审议结论，负责向教育厅上报申报材料，做好新专业</w:t>
      </w:r>
      <w:r>
        <w:rPr>
          <w:rFonts w:hint="eastAsia" w:eastAsia="宋体"/>
          <w:sz w:val="28"/>
          <w:szCs w:val="28"/>
          <w:lang w:val="en-US" w:eastAsia="zh-CN"/>
        </w:rPr>
        <w:t>申报和</w:t>
      </w:r>
      <w:r>
        <w:rPr>
          <w:rFonts w:hint="default"/>
          <w:sz w:val="28"/>
          <w:szCs w:val="28"/>
        </w:rPr>
        <w:t>备案工作。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第十二条</w:t>
      </w:r>
      <w:r>
        <w:rPr>
          <w:rFonts w:hint="default"/>
          <w:sz w:val="28"/>
          <w:szCs w:val="28"/>
        </w:rPr>
        <w:t>  新专业建设与管理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学校教务处负责全校新专业建设统筹、指导、论证等工作。各</w:t>
      </w:r>
      <w:r>
        <w:rPr>
          <w:rFonts w:hint="eastAsia" w:eastAsia="宋体"/>
          <w:sz w:val="28"/>
          <w:szCs w:val="28"/>
          <w:lang w:val="en-US" w:eastAsia="zh-CN"/>
        </w:rPr>
        <w:t>教学系</w:t>
      </w:r>
      <w:r>
        <w:rPr>
          <w:rFonts w:hint="default"/>
          <w:sz w:val="28"/>
          <w:szCs w:val="28"/>
        </w:rPr>
        <w:t>负责人为新专业建设工作的第一负责人。</w:t>
      </w:r>
      <w:r>
        <w:rPr>
          <w:rFonts w:hint="eastAsia" w:eastAsia="宋体"/>
          <w:sz w:val="28"/>
          <w:szCs w:val="28"/>
          <w:lang w:val="en-US" w:eastAsia="zh-CN"/>
        </w:rPr>
        <w:t>系部</w:t>
      </w:r>
      <w:r>
        <w:rPr>
          <w:rFonts w:hint="default"/>
          <w:sz w:val="28"/>
          <w:szCs w:val="28"/>
        </w:rPr>
        <w:t>应建立相应的专业</w:t>
      </w:r>
      <w:r>
        <w:rPr>
          <w:rFonts w:hint="eastAsia" w:eastAsia="宋体"/>
          <w:sz w:val="28"/>
          <w:szCs w:val="28"/>
          <w:lang w:val="en-US" w:eastAsia="zh-CN"/>
        </w:rPr>
        <w:t>建设</w:t>
      </w:r>
      <w:r>
        <w:rPr>
          <w:rFonts w:hint="default"/>
          <w:sz w:val="28"/>
          <w:szCs w:val="28"/>
        </w:rPr>
        <w:t>指导委员会，并明确专业负责人及课程负责人，确保新专业建设和教学工作的正常开展。各项任务均应落实到人，职责分明，并有检查督促措施。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 </w:t>
      </w:r>
      <w:r>
        <w:rPr>
          <w:rFonts w:hint="eastAsia"/>
          <w:sz w:val="28"/>
          <w:szCs w:val="28"/>
        </w:rPr>
        <w:t>第十三条</w:t>
      </w:r>
      <w:r>
        <w:rPr>
          <w:rFonts w:hint="eastAsia" w:eastAsia="宋体"/>
          <w:sz w:val="28"/>
          <w:szCs w:val="28"/>
          <w:lang w:val="en-US" w:eastAsia="zh-CN"/>
        </w:rPr>
        <w:t xml:space="preserve"> </w:t>
      </w:r>
      <w:r>
        <w:rPr>
          <w:rFonts w:hint="default"/>
          <w:sz w:val="28"/>
          <w:szCs w:val="28"/>
        </w:rPr>
        <w:t> 新专业投入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学校给予新专业每年</w:t>
      </w:r>
      <w:r>
        <w:rPr>
          <w:rFonts w:hint="default"/>
          <w:sz w:val="28"/>
          <w:szCs w:val="28"/>
          <w:lang w:val="en-US"/>
        </w:rPr>
        <w:t>100</w:t>
      </w:r>
      <w:r>
        <w:rPr>
          <w:rFonts w:hint="default"/>
          <w:sz w:val="28"/>
          <w:szCs w:val="28"/>
        </w:rPr>
        <w:t>万建设经费，连续扶持三年。各</w:t>
      </w:r>
      <w:r>
        <w:rPr>
          <w:rFonts w:hint="eastAsia" w:eastAsia="宋体"/>
          <w:sz w:val="28"/>
          <w:szCs w:val="28"/>
          <w:lang w:val="en-US" w:eastAsia="zh-CN"/>
        </w:rPr>
        <w:t>教学系</w:t>
      </w:r>
      <w:r>
        <w:rPr>
          <w:rFonts w:hint="default"/>
          <w:sz w:val="28"/>
          <w:szCs w:val="28"/>
        </w:rPr>
        <w:t>要采取措施</w:t>
      </w:r>
      <w:r>
        <w:rPr>
          <w:rFonts w:hint="default"/>
          <w:sz w:val="28"/>
          <w:szCs w:val="28"/>
          <w:lang w:val="en-US"/>
        </w:rPr>
        <w:t>,</w:t>
      </w:r>
      <w:r>
        <w:rPr>
          <w:rFonts w:hint="default"/>
          <w:sz w:val="28"/>
          <w:szCs w:val="28"/>
        </w:rPr>
        <w:t>积极创造条件确保新专业的建设和教学工作的正常开展。学校将对新专业进行定期检查，对达不到建设要求的新增专业将责令整改。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center"/>
        <w:textAlignment w:val="auto"/>
        <w:rPr>
          <w:sz w:val="28"/>
          <w:szCs w:val="28"/>
        </w:rPr>
      </w:pPr>
      <w:r>
        <w:rPr>
          <w:rFonts w:hint="eastAsia" w:eastAsia="宋体"/>
          <w:sz w:val="28"/>
          <w:szCs w:val="28"/>
          <w:lang w:val="en-US" w:eastAsia="zh-CN"/>
        </w:rPr>
        <w:t xml:space="preserve">第四章  </w:t>
      </w:r>
      <w:r>
        <w:rPr>
          <w:sz w:val="28"/>
          <w:szCs w:val="28"/>
        </w:rPr>
        <w:t>专业建设的内容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sz w:val="28"/>
          <w:szCs w:val="28"/>
        </w:rPr>
        <w:t>第十</w:t>
      </w:r>
      <w:r>
        <w:rPr>
          <w:rFonts w:hint="eastAsia" w:eastAsia="宋体"/>
          <w:sz w:val="28"/>
          <w:szCs w:val="28"/>
          <w:lang w:val="en-US" w:eastAsia="zh-CN"/>
        </w:rPr>
        <w:t>四</w:t>
      </w:r>
      <w:r>
        <w:rPr>
          <w:rFonts w:hint="eastAsia"/>
          <w:sz w:val="28"/>
          <w:szCs w:val="28"/>
        </w:rPr>
        <w:t>条</w:t>
      </w:r>
      <w:r>
        <w:rPr>
          <w:rFonts w:hint="eastAsia" w:eastAsia="宋体"/>
          <w:sz w:val="28"/>
          <w:szCs w:val="28"/>
          <w:lang w:val="en-US" w:eastAsia="zh-CN"/>
        </w:rPr>
        <w:t xml:space="preserve">  </w:t>
      </w:r>
      <w:r>
        <w:rPr>
          <w:sz w:val="28"/>
          <w:szCs w:val="28"/>
        </w:rPr>
        <w:t>专业建设包括：人才培养方案</w:t>
      </w:r>
      <w:r>
        <w:rPr>
          <w:rFonts w:hint="eastAsia" w:eastAsia="宋体"/>
          <w:sz w:val="28"/>
          <w:szCs w:val="28"/>
          <w:lang w:val="en-US" w:eastAsia="zh-CN"/>
        </w:rPr>
        <w:t>制订</w:t>
      </w:r>
      <w:r>
        <w:rPr>
          <w:sz w:val="28"/>
          <w:szCs w:val="28"/>
        </w:rPr>
        <w:t>、师资队伍建设、实践教学条件建设、教学研究与改革、社会服务能力建设等。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eastAsia="宋体"/>
          <w:sz w:val="28"/>
          <w:szCs w:val="28"/>
          <w:lang w:eastAsia="zh-CN"/>
        </w:rPr>
      </w:pPr>
      <w:bookmarkStart w:id="4" w:name="bookmark9"/>
      <w:r>
        <w:rPr>
          <w:sz w:val="28"/>
          <w:szCs w:val="28"/>
        </w:rPr>
        <w:t>（</w:t>
      </w:r>
      <w:bookmarkEnd w:id="4"/>
      <w:r>
        <w:rPr>
          <w:sz w:val="28"/>
          <w:szCs w:val="28"/>
        </w:rPr>
        <w:t>一）人才培养方案</w:t>
      </w:r>
      <w:r>
        <w:rPr>
          <w:rFonts w:hint="eastAsia" w:eastAsia="宋体"/>
          <w:sz w:val="28"/>
          <w:szCs w:val="28"/>
          <w:lang w:val="en-US" w:eastAsia="zh-CN"/>
        </w:rPr>
        <w:t>制订</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eastAsia="宋体"/>
          <w:sz w:val="28"/>
          <w:szCs w:val="28"/>
          <w:lang w:val="en-US" w:eastAsia="zh-CN"/>
        </w:rPr>
        <w:t>１.</w:t>
      </w:r>
      <w:r>
        <w:rPr>
          <w:sz w:val="28"/>
          <w:szCs w:val="28"/>
        </w:rPr>
        <w:t>确定培养目标</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sz w:val="28"/>
          <w:szCs w:val="28"/>
        </w:rPr>
        <w:t>按照高等职业教育培养</w:t>
      </w:r>
      <w:r>
        <w:rPr>
          <w:rFonts w:hint="eastAsia"/>
          <w:sz w:val="28"/>
          <w:szCs w:val="28"/>
          <w:lang w:eastAsia="zh-CN"/>
        </w:rPr>
        <w:t>“</w:t>
      </w:r>
      <w:r>
        <w:rPr>
          <w:sz w:val="28"/>
          <w:szCs w:val="28"/>
          <w:lang w:val="zh-CN" w:eastAsia="zh-CN"/>
        </w:rPr>
        <w:t>高</w:t>
      </w:r>
      <w:r>
        <w:rPr>
          <w:sz w:val="28"/>
          <w:szCs w:val="28"/>
        </w:rPr>
        <w:t>素质技能型专门人才</w:t>
      </w:r>
      <w:r>
        <w:rPr>
          <w:rFonts w:hint="eastAsia"/>
          <w:sz w:val="28"/>
          <w:szCs w:val="28"/>
          <w:lang w:eastAsia="zh-CN"/>
        </w:rPr>
        <w:t>”</w:t>
      </w:r>
      <w:r>
        <w:rPr>
          <w:sz w:val="28"/>
          <w:szCs w:val="28"/>
        </w:rPr>
        <w:t>、</w:t>
      </w:r>
      <w:r>
        <w:rPr>
          <w:sz w:val="28"/>
          <w:szCs w:val="28"/>
          <w:lang w:val="zh-CN" w:eastAsia="zh-CN"/>
        </w:rPr>
        <w:t>“应</w:t>
      </w:r>
      <w:r>
        <w:rPr>
          <w:sz w:val="28"/>
          <w:szCs w:val="28"/>
        </w:rPr>
        <w:t>用型技术人才”的总体目标；以提高人才培养质量作为专业建设改革的依据；结合专业就业岗位</w:t>
      </w:r>
      <w:r>
        <w:rPr>
          <w:rFonts w:hint="eastAsia" w:eastAsia="宋体"/>
          <w:sz w:val="28"/>
          <w:szCs w:val="28"/>
          <w:lang w:eastAsia="zh-CN"/>
        </w:rPr>
        <w:t>（</w:t>
      </w:r>
      <w:r>
        <w:rPr>
          <w:rFonts w:hint="eastAsia" w:eastAsia="宋体"/>
          <w:sz w:val="28"/>
          <w:szCs w:val="28"/>
          <w:lang w:val="en-US" w:eastAsia="zh-CN"/>
        </w:rPr>
        <w:t>群</w:t>
      </w:r>
      <w:r>
        <w:rPr>
          <w:rFonts w:hint="eastAsia" w:eastAsia="宋体"/>
          <w:sz w:val="28"/>
          <w:szCs w:val="28"/>
          <w:lang w:eastAsia="zh-CN"/>
        </w:rPr>
        <w:t>）</w:t>
      </w:r>
      <w:r>
        <w:rPr>
          <w:sz w:val="28"/>
          <w:szCs w:val="28"/>
        </w:rPr>
        <w:t>，确定专业培养目标。具体有：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eastAsia="宋体"/>
          <w:sz w:val="28"/>
          <w:szCs w:val="28"/>
          <w:lang w:eastAsia="zh-CN"/>
        </w:rPr>
      </w:pPr>
      <w:bookmarkStart w:id="5" w:name="bookmark10"/>
      <w:bookmarkEnd w:id="5"/>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进行专业</w:t>
      </w:r>
      <w:r>
        <w:rPr>
          <w:rFonts w:hint="eastAsia" w:eastAsia="宋体"/>
          <w:sz w:val="28"/>
          <w:szCs w:val="28"/>
          <w:lang w:eastAsia="zh-CN"/>
        </w:rPr>
        <w:t>人才</w:t>
      </w:r>
      <w:r>
        <w:rPr>
          <w:sz w:val="28"/>
          <w:szCs w:val="28"/>
        </w:rPr>
        <w:t>培养需求调研，确定专业培养方向和就业岗</w:t>
      </w:r>
      <w:r>
        <w:rPr>
          <w:rFonts w:hint="eastAsia" w:eastAsia="宋体"/>
          <w:sz w:val="28"/>
          <w:szCs w:val="28"/>
          <w:lang w:eastAsia="zh-CN"/>
        </w:rPr>
        <w:t>位（</w:t>
      </w:r>
      <w:r>
        <w:rPr>
          <w:rFonts w:hint="eastAsia" w:eastAsia="宋体"/>
          <w:sz w:val="28"/>
          <w:szCs w:val="28"/>
          <w:lang w:val="en-US" w:eastAsia="zh-CN"/>
        </w:rPr>
        <w:t>群</w:t>
      </w:r>
      <w:r>
        <w:rPr>
          <w:rFonts w:hint="eastAsia" w:eastAsia="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6" w:name="bookmark11"/>
      <w:bookmarkEnd w:id="6"/>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进行就业岗位</w:t>
      </w:r>
      <w:r>
        <w:rPr>
          <w:rFonts w:hint="eastAsia" w:eastAsia="宋体"/>
          <w:sz w:val="28"/>
          <w:szCs w:val="28"/>
          <w:lang w:eastAsia="zh-CN"/>
        </w:rPr>
        <w:t>（</w:t>
      </w:r>
      <w:r>
        <w:rPr>
          <w:rFonts w:hint="eastAsia" w:eastAsia="宋体"/>
          <w:sz w:val="28"/>
          <w:szCs w:val="28"/>
          <w:lang w:val="en-US" w:eastAsia="zh-CN"/>
        </w:rPr>
        <w:t>群</w:t>
      </w:r>
      <w:r>
        <w:rPr>
          <w:rFonts w:hint="eastAsia" w:eastAsia="宋体"/>
          <w:sz w:val="28"/>
          <w:szCs w:val="28"/>
          <w:lang w:eastAsia="zh-CN"/>
        </w:rPr>
        <w:t>）</w:t>
      </w:r>
      <w:r>
        <w:rPr>
          <w:sz w:val="28"/>
          <w:szCs w:val="28"/>
        </w:rPr>
        <w:t>调研，完成就业岗位</w:t>
      </w:r>
      <w:r>
        <w:rPr>
          <w:rFonts w:hint="eastAsia" w:eastAsia="宋体"/>
          <w:sz w:val="28"/>
          <w:szCs w:val="28"/>
          <w:lang w:eastAsia="zh-CN"/>
        </w:rPr>
        <w:t>（</w:t>
      </w:r>
      <w:r>
        <w:rPr>
          <w:rFonts w:hint="eastAsia" w:eastAsia="宋体"/>
          <w:sz w:val="28"/>
          <w:szCs w:val="28"/>
          <w:lang w:val="en-US" w:eastAsia="zh-CN"/>
        </w:rPr>
        <w:t>群</w:t>
      </w:r>
      <w:r>
        <w:rPr>
          <w:rFonts w:hint="eastAsia" w:eastAsia="宋体"/>
          <w:sz w:val="28"/>
          <w:szCs w:val="28"/>
          <w:lang w:eastAsia="zh-CN"/>
        </w:rPr>
        <w:t>）</w:t>
      </w:r>
      <w:r>
        <w:rPr>
          <w:sz w:val="28"/>
          <w:szCs w:val="28"/>
        </w:rPr>
        <w:t>对从业人员知识、技能、态度要求分析；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7" w:name="bookmark12"/>
      <w:bookmarkEnd w:id="7"/>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根据就业岗位</w:t>
      </w:r>
      <w:r>
        <w:rPr>
          <w:rFonts w:hint="eastAsia" w:eastAsia="宋体"/>
          <w:sz w:val="28"/>
          <w:szCs w:val="28"/>
          <w:lang w:eastAsia="zh-CN"/>
        </w:rPr>
        <w:t>（</w:t>
      </w:r>
      <w:r>
        <w:rPr>
          <w:rFonts w:hint="eastAsia" w:eastAsia="宋体"/>
          <w:sz w:val="28"/>
          <w:szCs w:val="28"/>
          <w:lang w:val="en-US" w:eastAsia="zh-CN"/>
        </w:rPr>
        <w:t>群</w:t>
      </w:r>
      <w:r>
        <w:rPr>
          <w:rFonts w:hint="eastAsia" w:eastAsia="宋体"/>
          <w:sz w:val="28"/>
          <w:szCs w:val="28"/>
          <w:lang w:eastAsia="zh-CN"/>
        </w:rPr>
        <w:t>）</w:t>
      </w:r>
      <w:r>
        <w:rPr>
          <w:sz w:val="28"/>
          <w:szCs w:val="28"/>
        </w:rPr>
        <w:t>对从业人员知识、技能、态度要求分析，</w:t>
      </w:r>
      <w:r>
        <w:rPr>
          <w:rFonts w:hint="eastAsia" w:eastAsia="宋体"/>
          <w:sz w:val="28"/>
          <w:szCs w:val="28"/>
          <w:lang w:val="en-US" w:eastAsia="zh-CN"/>
        </w:rPr>
        <w:t>按照培养“德、智、体、美、劳”全面发展的社会主义接班人要求，</w:t>
      </w:r>
      <w:r>
        <w:rPr>
          <w:sz w:val="28"/>
          <w:szCs w:val="28"/>
        </w:rPr>
        <w:t>明确专业人才培养的规格和层次，完成专业培养目标设计。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eastAsia="宋体"/>
          <w:sz w:val="28"/>
          <w:szCs w:val="28"/>
          <w:lang w:val="en-US" w:eastAsia="zh-CN"/>
        </w:rPr>
      </w:pPr>
      <w:bookmarkStart w:id="8" w:name="bookmark13"/>
      <w:bookmarkEnd w:id="8"/>
      <w:r>
        <w:rPr>
          <w:rFonts w:hint="eastAsia"/>
          <w:sz w:val="28"/>
          <w:szCs w:val="28"/>
          <w:lang w:val="en-US" w:eastAsia="zh-CN"/>
        </w:rPr>
        <w:t>２.</w:t>
      </w:r>
      <w:r>
        <w:rPr>
          <w:rFonts w:hint="eastAsia" w:eastAsia="宋体"/>
          <w:sz w:val="28"/>
          <w:szCs w:val="28"/>
          <w:lang w:val="en-US" w:eastAsia="zh-CN"/>
        </w:rPr>
        <w:t>确定订</w:t>
      </w:r>
      <w:r>
        <w:rPr>
          <w:sz w:val="28"/>
          <w:szCs w:val="28"/>
        </w:rPr>
        <w:t>课程体系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sz w:val="28"/>
          <w:szCs w:val="28"/>
        </w:rPr>
        <w:t>按照校企合作、工学结合的要求，以培养目标为依据，建立以工作过程为导向，</w:t>
      </w:r>
      <w:r>
        <w:rPr>
          <w:sz w:val="28"/>
          <w:szCs w:val="28"/>
          <w:lang w:val="zh-CN" w:eastAsia="zh-CN"/>
        </w:rPr>
        <w:t>“体</w:t>
      </w:r>
      <w:r>
        <w:rPr>
          <w:sz w:val="28"/>
          <w:szCs w:val="28"/>
        </w:rPr>
        <w:t>现工学结合特色”的课程体系。具体有：</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0" w:firstLineChars="200"/>
        <w:textAlignment w:val="auto"/>
        <w:rPr>
          <w:rFonts w:hint="eastAsia" w:eastAsia="宋体"/>
          <w:sz w:val="28"/>
          <w:szCs w:val="28"/>
          <w:lang w:val="en-US" w:eastAsia="zh-CN"/>
        </w:rPr>
      </w:pPr>
      <w:bookmarkStart w:id="9" w:name="bookmark14"/>
      <w:bookmarkEnd w:id="9"/>
      <w:r>
        <w:rPr>
          <w:rFonts w:hint="eastAsia" w:eastAsia="宋体"/>
          <w:sz w:val="28"/>
          <w:szCs w:val="28"/>
          <w:lang w:val="en-US" w:eastAsia="zh-CN"/>
        </w:rPr>
        <w:t>根据《高等职业学校专业教学标准》拟定</w:t>
      </w:r>
      <w:r>
        <w:rPr>
          <w:sz w:val="28"/>
          <w:szCs w:val="28"/>
        </w:rPr>
        <w:t>课程体系</w:t>
      </w:r>
      <w:r>
        <w:rPr>
          <w:rFonts w:hint="eastAsia" w:eastAsia="宋体"/>
          <w:sz w:val="28"/>
          <w:szCs w:val="28"/>
          <w:lang w:val="en-US" w:eastAsia="zh-CN"/>
        </w:rPr>
        <w:t>和核心课程；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0" w:firstLineChars="200"/>
        <w:textAlignment w:val="auto"/>
        <w:rPr>
          <w:sz w:val="28"/>
          <w:szCs w:val="28"/>
        </w:rPr>
      </w:pPr>
      <w:r>
        <w:rPr>
          <w:sz w:val="28"/>
          <w:szCs w:val="28"/>
        </w:rPr>
        <w:t>根据就业岗位(群)对从业人员知识、技能、态度要求分析，确定该专业课程的设置(</w:t>
      </w:r>
      <w:r>
        <w:rPr>
          <w:rFonts w:hint="eastAsia" w:eastAsia="宋体"/>
          <w:sz w:val="28"/>
          <w:szCs w:val="28"/>
          <w:lang w:val="en-US" w:eastAsia="zh-CN"/>
        </w:rPr>
        <w:t>职业综合素质和行动能力</w:t>
      </w:r>
      <w:r>
        <w:rPr>
          <w:sz w:val="28"/>
          <w:szCs w:val="28"/>
        </w:rPr>
        <w:t>)，明确每门课程的目标、定位和任务；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10" w:name="bookmark15"/>
      <w:bookmarkEnd w:id="10"/>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根据思想政治教育、文化素质教育的要求，确定专业的基础教育 与素质教育课程设置，明确每门课程的目标、定位和任务；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11" w:name="bookmark16"/>
      <w:bookmarkEnd w:id="11"/>
      <w:r>
        <w:rPr>
          <w:rFonts w:hint="eastAsia"/>
          <w:sz w:val="28"/>
          <w:szCs w:val="28"/>
          <w:lang w:eastAsia="zh-CN"/>
        </w:rPr>
        <w:t>（</w:t>
      </w:r>
      <w:r>
        <w:rPr>
          <w:rFonts w:hint="eastAsia"/>
          <w:sz w:val="28"/>
          <w:szCs w:val="28"/>
          <w:lang w:val="en-US" w:eastAsia="zh-CN"/>
        </w:rPr>
        <w:t>4</w:t>
      </w:r>
      <w:r>
        <w:rPr>
          <w:rFonts w:hint="eastAsia"/>
          <w:sz w:val="28"/>
          <w:szCs w:val="28"/>
          <w:lang w:eastAsia="zh-CN"/>
        </w:rPr>
        <w:t>）</w:t>
      </w:r>
      <w:r>
        <w:rPr>
          <w:sz w:val="28"/>
          <w:szCs w:val="28"/>
        </w:rPr>
        <w:t>根据终身学习、个性发展、素质拓展的要求，确定该专业选修课 和素质拓展课程的设置，明确每门课程的目标、定位和任务；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12" w:name="bookmark17"/>
      <w:bookmarkEnd w:id="12"/>
      <w:r>
        <w:rPr>
          <w:rFonts w:hint="eastAsia"/>
          <w:sz w:val="28"/>
          <w:szCs w:val="28"/>
          <w:lang w:eastAsia="zh-CN"/>
        </w:rPr>
        <w:t>（</w:t>
      </w:r>
      <w:r>
        <w:rPr>
          <w:rFonts w:hint="eastAsia"/>
          <w:sz w:val="28"/>
          <w:szCs w:val="28"/>
          <w:lang w:val="en-US" w:eastAsia="zh-CN"/>
        </w:rPr>
        <w:t>5</w:t>
      </w:r>
      <w:r>
        <w:rPr>
          <w:rFonts w:hint="eastAsia"/>
          <w:sz w:val="28"/>
          <w:szCs w:val="28"/>
          <w:lang w:eastAsia="zh-CN"/>
        </w:rPr>
        <w:t>）</w:t>
      </w:r>
      <w:r>
        <w:rPr>
          <w:sz w:val="28"/>
          <w:szCs w:val="28"/>
        </w:rPr>
        <w:t>根据专业能力要求，明确专业核心课程；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13" w:name="bookmark18"/>
      <w:bookmarkEnd w:id="13"/>
      <w:r>
        <w:rPr>
          <w:rFonts w:hint="eastAsia"/>
          <w:sz w:val="28"/>
          <w:szCs w:val="28"/>
          <w:lang w:eastAsia="zh-CN"/>
        </w:rPr>
        <w:t>（</w:t>
      </w:r>
      <w:r>
        <w:rPr>
          <w:rFonts w:hint="eastAsia"/>
          <w:sz w:val="28"/>
          <w:szCs w:val="28"/>
          <w:lang w:val="en-US" w:eastAsia="zh-CN"/>
        </w:rPr>
        <w:t>6</w:t>
      </w:r>
      <w:r>
        <w:rPr>
          <w:rFonts w:hint="eastAsia"/>
          <w:sz w:val="28"/>
          <w:szCs w:val="28"/>
          <w:lang w:eastAsia="zh-CN"/>
        </w:rPr>
        <w:t>）</w:t>
      </w:r>
      <w:r>
        <w:rPr>
          <w:sz w:val="28"/>
          <w:szCs w:val="28"/>
        </w:rPr>
        <w:t>根据学生认知规律，依据工作过程，按照由易到难，由简到繁， 由单项到综合的原则制定教学计划。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14" w:name="bookmark19"/>
      <w:bookmarkEnd w:id="14"/>
      <w:r>
        <w:rPr>
          <w:rFonts w:hint="eastAsia"/>
          <w:sz w:val="28"/>
          <w:szCs w:val="28"/>
          <w:lang w:val="en-US" w:eastAsia="zh-CN"/>
        </w:rPr>
        <w:t>３.</w:t>
      </w:r>
      <w:r>
        <w:rPr>
          <w:sz w:val="28"/>
          <w:szCs w:val="28"/>
        </w:rPr>
        <w:t>课程建设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sz w:val="28"/>
          <w:szCs w:val="28"/>
        </w:rPr>
        <w:t>按照任务驱动</w:t>
      </w:r>
      <w:r>
        <w:rPr>
          <w:rFonts w:hint="eastAsia" w:eastAsia="宋体"/>
          <w:sz w:val="28"/>
          <w:szCs w:val="28"/>
          <w:lang w:eastAsia="zh-CN"/>
        </w:rPr>
        <w:t>、</w:t>
      </w:r>
      <w:r>
        <w:rPr>
          <w:sz w:val="28"/>
          <w:szCs w:val="28"/>
        </w:rPr>
        <w:t>项目导向、</w:t>
      </w:r>
      <w:r>
        <w:rPr>
          <w:rFonts w:hint="eastAsia" w:eastAsia="宋体"/>
          <w:sz w:val="28"/>
          <w:szCs w:val="28"/>
          <w:lang w:eastAsia="zh-CN"/>
        </w:rPr>
        <w:t>“</w:t>
      </w:r>
      <w:r>
        <w:rPr>
          <w:sz w:val="28"/>
          <w:szCs w:val="28"/>
        </w:rPr>
        <w:t>教学做</w:t>
      </w:r>
      <w:r>
        <w:rPr>
          <w:rFonts w:hint="eastAsia" w:eastAsia="宋体"/>
          <w:sz w:val="28"/>
          <w:szCs w:val="28"/>
          <w:lang w:eastAsia="zh-CN"/>
        </w:rPr>
        <w:t>”</w:t>
      </w:r>
      <w:r>
        <w:rPr>
          <w:sz w:val="28"/>
          <w:szCs w:val="28"/>
        </w:rPr>
        <w:t>一体化的原则，有计划有重点地开展课程建设。具体有：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15" w:name="bookmark20"/>
      <w:bookmarkEnd w:id="15"/>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按照先试点、再完善、后推广的步骤，制定专业的课程建设计划；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16" w:name="bookmark21"/>
      <w:bookmarkEnd w:id="16"/>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完成课程建设任务，具体要求</w:t>
      </w:r>
      <w:r>
        <w:rPr>
          <w:rFonts w:hint="eastAsia" w:eastAsia="宋体"/>
          <w:sz w:val="28"/>
          <w:szCs w:val="28"/>
          <w:lang w:val="en-US" w:eastAsia="zh-CN"/>
        </w:rPr>
        <w:t>详</w:t>
      </w:r>
      <w:r>
        <w:rPr>
          <w:sz w:val="28"/>
          <w:szCs w:val="28"/>
        </w:rPr>
        <w:t>见《</w:t>
      </w:r>
      <w:r>
        <w:rPr>
          <w:rFonts w:hint="eastAsia" w:eastAsia="宋体"/>
          <w:sz w:val="28"/>
          <w:szCs w:val="28"/>
          <w:lang w:val="en-US" w:eastAsia="zh-CN"/>
        </w:rPr>
        <w:t>达州中医药职业学院</w:t>
      </w:r>
      <w:r>
        <w:rPr>
          <w:sz w:val="28"/>
          <w:szCs w:val="28"/>
        </w:rPr>
        <w:t>课程建设标准》。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17" w:name="bookmark22"/>
      <w:bookmarkEnd w:id="17"/>
      <w:r>
        <w:rPr>
          <w:rFonts w:hint="eastAsia"/>
          <w:sz w:val="28"/>
          <w:szCs w:val="28"/>
          <w:lang w:val="en-US" w:eastAsia="zh-CN"/>
        </w:rPr>
        <w:t>４.</w:t>
      </w:r>
      <w:r>
        <w:rPr>
          <w:sz w:val="28"/>
          <w:szCs w:val="28"/>
        </w:rPr>
        <w:t>实习环节建设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sz w:val="28"/>
          <w:szCs w:val="28"/>
        </w:rPr>
        <w:t>学生实习的本质是教学活动，是实践教学的重要环节，组织开展学生实习，应坚持立德树人，德技并修，遵循学生成长规律和职业能力形成规律，理论与实践相结合，提升学生技能水平，</w:t>
      </w:r>
      <w:r>
        <w:rPr>
          <w:rFonts w:hint="eastAsia" w:eastAsia="宋体"/>
          <w:sz w:val="28"/>
          <w:szCs w:val="28"/>
          <w:lang w:val="en-US" w:eastAsia="zh-CN"/>
        </w:rPr>
        <w:t>锤炼</w:t>
      </w:r>
      <w:r>
        <w:rPr>
          <w:rFonts w:hint="eastAsia"/>
          <w:sz w:val="28"/>
          <w:szCs w:val="28"/>
        </w:rPr>
        <w:t>学生意志品质</w:t>
      </w:r>
      <w:r>
        <w:rPr>
          <w:rFonts w:hint="eastAsia" w:eastAsia="宋体"/>
          <w:sz w:val="28"/>
          <w:szCs w:val="28"/>
          <w:lang w:eastAsia="zh-CN"/>
        </w:rPr>
        <w:t>，</w:t>
      </w:r>
      <w:r>
        <w:rPr>
          <w:rFonts w:hint="eastAsia"/>
          <w:sz w:val="28"/>
          <w:szCs w:val="28"/>
        </w:rPr>
        <w:t>服务学生全面发展</w:t>
      </w:r>
      <w:r>
        <w:rPr>
          <w:rFonts w:hint="eastAsia" w:eastAsia="宋体"/>
          <w:sz w:val="28"/>
          <w:szCs w:val="28"/>
          <w:lang w:eastAsia="zh-CN"/>
        </w:rPr>
        <w:t>。</w:t>
      </w:r>
      <w:r>
        <w:rPr>
          <w:sz w:val="28"/>
          <w:szCs w:val="28"/>
        </w:rPr>
        <w:t>依据</w:t>
      </w:r>
      <w:r>
        <w:rPr>
          <w:rFonts w:hint="eastAsia" w:eastAsia="宋体"/>
          <w:sz w:val="28"/>
          <w:szCs w:val="28"/>
          <w:lang w:val="en-US" w:eastAsia="zh-CN"/>
        </w:rPr>
        <w:t>人才培养方案</w:t>
      </w:r>
      <w:r>
        <w:rPr>
          <w:sz w:val="28"/>
          <w:szCs w:val="28"/>
        </w:rPr>
        <w:t>设计实习环节。实习环节一般分为认识实习和</w:t>
      </w:r>
      <w:r>
        <w:rPr>
          <w:rFonts w:hint="eastAsia" w:eastAsia="宋体"/>
          <w:sz w:val="28"/>
          <w:szCs w:val="28"/>
          <w:lang w:val="en-US" w:eastAsia="zh-CN"/>
        </w:rPr>
        <w:t>岗位</w:t>
      </w:r>
      <w:r>
        <w:rPr>
          <w:sz w:val="28"/>
          <w:szCs w:val="28"/>
        </w:rPr>
        <w:t>实习，具体有：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18" w:name="bookmark23"/>
      <w:bookmarkEnd w:id="18"/>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根据岗位能力分析，确定专业实习的目标、内容、任务以及时间、 方式、地点；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19" w:name="bookmark24"/>
      <w:bookmarkEnd w:id="19"/>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编制实习的组织、安全和管理等方面相关制度。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20" w:name="bookmark25"/>
      <w:bookmarkEnd w:id="20"/>
      <w:r>
        <w:rPr>
          <w:rFonts w:hint="eastAsia"/>
          <w:sz w:val="28"/>
          <w:szCs w:val="28"/>
          <w:lang w:val="en-US" w:eastAsia="zh-CN"/>
        </w:rPr>
        <w:t>５.</w:t>
      </w:r>
      <w:r>
        <w:rPr>
          <w:sz w:val="28"/>
          <w:szCs w:val="28"/>
        </w:rPr>
        <w:t>专业资格证书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sz w:val="28"/>
          <w:szCs w:val="28"/>
        </w:rPr>
        <w:t>按照专业就业岗位(群)的需要，积极推行双证书和多证书教育，</w:t>
      </w:r>
      <w:r>
        <w:rPr>
          <w:rFonts w:hint="eastAsia"/>
          <w:sz w:val="28"/>
          <w:szCs w:val="28"/>
          <w:lang w:val="en-US" w:eastAsia="zh-CN"/>
        </w:rPr>
        <w:t>鼓励学生在校期间</w:t>
      </w:r>
      <w:r>
        <w:rPr>
          <w:sz w:val="28"/>
          <w:szCs w:val="28"/>
        </w:rPr>
        <w:t>获得相应职业资格证书，提高学生的就业能力。具体有：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21" w:name="bookmark26"/>
      <w:bookmarkEnd w:id="21"/>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根据专业就业岗位分析，确定该专业必须取得和可以取得的专业 资格证书的种类和级别；</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eastAsia="宋体"/>
          <w:sz w:val="28"/>
          <w:szCs w:val="28"/>
          <w:lang w:eastAsia="zh-CN"/>
        </w:rPr>
      </w:pPr>
      <w:bookmarkStart w:id="22" w:name="bookmark27"/>
      <w:bookmarkEnd w:id="22"/>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对相应职业资格证书要求的知识、技能、态度进行分析，</w:t>
      </w:r>
      <w:r>
        <w:rPr>
          <w:rFonts w:hint="eastAsia" w:eastAsia="宋体"/>
          <w:sz w:val="28"/>
          <w:szCs w:val="28"/>
          <w:lang w:val="en-US" w:eastAsia="zh-CN"/>
        </w:rPr>
        <w:t>将其</w:t>
      </w:r>
      <w:r>
        <w:rPr>
          <w:sz w:val="28"/>
          <w:szCs w:val="28"/>
        </w:rPr>
        <w:t>作为课程的目标</w:t>
      </w:r>
      <w:r>
        <w:rPr>
          <w:rFonts w:hint="eastAsia" w:eastAsia="宋体"/>
          <w:sz w:val="28"/>
          <w:szCs w:val="28"/>
          <w:lang w:val="en-US" w:eastAsia="zh-CN"/>
        </w:rPr>
        <w:t>和</w:t>
      </w:r>
      <w:r>
        <w:rPr>
          <w:sz w:val="28"/>
          <w:szCs w:val="28"/>
        </w:rPr>
        <w:t>任务</w:t>
      </w:r>
      <w:r>
        <w:rPr>
          <w:rFonts w:hint="eastAsia" w:eastAsia="宋体"/>
          <w:sz w:val="28"/>
          <w:szCs w:val="28"/>
          <w:lang w:val="en-US" w:eastAsia="zh-CN"/>
        </w:rPr>
        <w:t>写入核心课程建设中</w:t>
      </w:r>
      <w:r>
        <w:rPr>
          <w:rFonts w:hint="eastAsia" w:eastAsia="宋体"/>
          <w:sz w:val="28"/>
          <w:szCs w:val="28"/>
          <w:lang w:eastAsia="zh-CN"/>
        </w:rPr>
        <w:t>，</w:t>
      </w:r>
      <w:r>
        <w:rPr>
          <w:rFonts w:hint="eastAsia" w:eastAsia="宋体"/>
          <w:sz w:val="28"/>
          <w:szCs w:val="28"/>
          <w:lang w:val="en-US" w:eastAsia="zh-CN"/>
        </w:rPr>
        <w:t>同时</w:t>
      </w:r>
      <w:r>
        <w:rPr>
          <w:sz w:val="28"/>
          <w:szCs w:val="28"/>
        </w:rPr>
        <w:t>融入课 程体系及课程</w:t>
      </w:r>
      <w:r>
        <w:rPr>
          <w:rFonts w:hint="eastAsia" w:eastAsia="宋体"/>
          <w:sz w:val="28"/>
          <w:szCs w:val="28"/>
          <w:lang w:val="en-US" w:eastAsia="zh-CN"/>
        </w:rPr>
        <w:t>教学</w:t>
      </w:r>
      <w:r>
        <w:rPr>
          <w:sz w:val="28"/>
          <w:szCs w:val="28"/>
        </w:rPr>
        <w:t>中</w:t>
      </w:r>
      <w:bookmarkStart w:id="23" w:name="bookmark28"/>
      <w:bookmarkEnd w:id="23"/>
      <w:r>
        <w:rPr>
          <w:rFonts w:hint="eastAsia" w:eastAsia="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制定职业资格证书的考取方案，</w:t>
      </w:r>
      <w:r>
        <w:rPr>
          <w:rFonts w:hint="eastAsia"/>
          <w:sz w:val="28"/>
          <w:szCs w:val="28"/>
          <w:lang w:val="en-US" w:eastAsia="zh-CN"/>
        </w:rPr>
        <w:t>建议</w:t>
      </w:r>
      <w:r>
        <w:rPr>
          <w:sz w:val="28"/>
          <w:szCs w:val="28"/>
        </w:rPr>
        <w:t>采用单独考核模式或课程考核与职业资格证书考核统一的</w:t>
      </w:r>
      <w:r>
        <w:rPr>
          <w:sz w:val="28"/>
          <w:szCs w:val="28"/>
          <w:lang w:val="zh-CN" w:eastAsia="zh-CN"/>
        </w:rPr>
        <w:t>“直</w:t>
      </w:r>
      <w:r>
        <w:rPr>
          <w:sz w:val="28"/>
          <w:szCs w:val="28"/>
        </w:rPr>
        <w:t>通车”考核模式。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24" w:name="bookmark29"/>
      <w:bookmarkEnd w:id="24"/>
      <w:r>
        <w:rPr>
          <w:rFonts w:hint="eastAsia"/>
          <w:sz w:val="28"/>
          <w:szCs w:val="28"/>
          <w:lang w:val="en-US" w:eastAsia="zh-CN"/>
        </w:rPr>
        <w:t>６.</w:t>
      </w:r>
      <w:r>
        <w:rPr>
          <w:sz w:val="28"/>
          <w:szCs w:val="28"/>
        </w:rPr>
        <w:t>提炼专业人才培养模式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sz w:val="28"/>
          <w:szCs w:val="28"/>
        </w:rPr>
        <w:t>结合专业培养目标以及专业培养思想、教育理念、教学组织，根据专业课程体系，提炼人才培养模式。具体有：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25" w:name="bookmark30"/>
      <w:bookmarkEnd w:id="25"/>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准确描述人才培养模式；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26" w:name="bookmark31"/>
      <w:bookmarkEnd w:id="26"/>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总结专业特色和专业人才培养的特色。</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27" w:name="bookmark32"/>
      <w:bookmarkEnd w:id="27"/>
      <w:r>
        <w:rPr>
          <w:rFonts w:hint="eastAsia"/>
          <w:sz w:val="28"/>
          <w:szCs w:val="28"/>
          <w:lang w:val="zh-CN" w:eastAsia="zh-CN"/>
        </w:rPr>
        <w:t>７</w:t>
      </w:r>
      <w:r>
        <w:rPr>
          <w:rFonts w:hint="eastAsia"/>
          <w:sz w:val="28"/>
          <w:szCs w:val="28"/>
          <w:lang w:val="en-US" w:eastAsia="zh-CN"/>
        </w:rPr>
        <w:t>.</w:t>
      </w:r>
      <w:r>
        <w:rPr>
          <w:sz w:val="28"/>
          <w:szCs w:val="28"/>
          <w:lang w:val="zh-CN" w:eastAsia="zh-CN"/>
        </w:rPr>
        <w:t>人</w:t>
      </w:r>
      <w:r>
        <w:rPr>
          <w:sz w:val="28"/>
          <w:szCs w:val="28"/>
        </w:rPr>
        <w:t>才培养方案的试</w:t>
      </w:r>
      <w:r>
        <w:rPr>
          <w:rFonts w:hint="eastAsia" w:eastAsia="宋体"/>
          <w:sz w:val="28"/>
          <w:szCs w:val="28"/>
          <w:lang w:val="en-US" w:eastAsia="zh-CN"/>
        </w:rPr>
        <w:t>行</w:t>
      </w:r>
      <w:r>
        <w:rPr>
          <w:sz w:val="28"/>
          <w:szCs w:val="28"/>
        </w:rPr>
        <w:t>、反馈、比较、分析、完善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sz w:val="28"/>
          <w:szCs w:val="28"/>
        </w:rPr>
        <w:t>对人才培养方案进行试</w:t>
      </w:r>
      <w:r>
        <w:rPr>
          <w:rFonts w:hint="eastAsia" w:eastAsia="宋体"/>
          <w:sz w:val="28"/>
          <w:szCs w:val="28"/>
          <w:lang w:val="en-US" w:eastAsia="zh-CN"/>
        </w:rPr>
        <w:t>行</w:t>
      </w:r>
      <w:r>
        <w:rPr>
          <w:sz w:val="28"/>
          <w:szCs w:val="28"/>
        </w:rPr>
        <w:t>，对试</w:t>
      </w:r>
      <w:r>
        <w:rPr>
          <w:rFonts w:hint="eastAsia" w:eastAsia="宋体"/>
          <w:sz w:val="28"/>
          <w:szCs w:val="28"/>
          <w:lang w:val="en-US" w:eastAsia="zh-CN"/>
        </w:rPr>
        <w:t>行</w:t>
      </w:r>
      <w:r>
        <w:rPr>
          <w:sz w:val="28"/>
          <w:szCs w:val="28"/>
        </w:rPr>
        <w:t>效果进行分析，</w:t>
      </w:r>
      <w:r>
        <w:rPr>
          <w:rFonts w:hint="eastAsia" w:eastAsia="宋体"/>
          <w:sz w:val="28"/>
          <w:szCs w:val="28"/>
          <w:lang w:val="en-US" w:eastAsia="zh-CN"/>
        </w:rPr>
        <w:t>根据情况进行</w:t>
      </w:r>
      <w:r>
        <w:rPr>
          <w:sz w:val="28"/>
          <w:szCs w:val="28"/>
        </w:rPr>
        <w:t>修</w:t>
      </w:r>
      <w:r>
        <w:rPr>
          <w:rFonts w:hint="eastAsia" w:eastAsia="宋体"/>
          <w:sz w:val="28"/>
          <w:szCs w:val="28"/>
          <w:lang w:val="en-US" w:eastAsia="zh-CN"/>
        </w:rPr>
        <w:t>订，不断完善</w:t>
      </w:r>
      <w:r>
        <w:rPr>
          <w:sz w:val="28"/>
          <w:szCs w:val="28"/>
        </w:rPr>
        <w:t>人才培养方案。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28" w:name="bookmark33"/>
      <w:bookmarkEnd w:id="28"/>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sz w:val="28"/>
          <w:szCs w:val="28"/>
        </w:rPr>
        <w:t>师资队伍建设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sz w:val="28"/>
          <w:szCs w:val="28"/>
        </w:rPr>
        <w:t>根据专业人才培养</w:t>
      </w:r>
      <w:r>
        <w:rPr>
          <w:rFonts w:hint="eastAsia" w:eastAsia="宋体"/>
          <w:sz w:val="28"/>
          <w:szCs w:val="28"/>
          <w:lang w:val="en-US" w:eastAsia="zh-CN"/>
        </w:rPr>
        <w:t>方案</w:t>
      </w:r>
      <w:r>
        <w:rPr>
          <w:sz w:val="28"/>
          <w:szCs w:val="28"/>
        </w:rPr>
        <w:t>的需求，加强教师队伍建设，提高教师队伍水平，打造一支专兼结合的双师型教学团队。具体有：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eastAsia="宋体"/>
          <w:sz w:val="28"/>
          <w:szCs w:val="28"/>
          <w:lang w:eastAsia="zh-CN"/>
        </w:rPr>
        <w:t>１</w:t>
      </w:r>
      <w:r>
        <w:rPr>
          <w:rFonts w:hint="eastAsia" w:eastAsia="宋体"/>
          <w:sz w:val="28"/>
          <w:szCs w:val="28"/>
          <w:lang w:val="en-US" w:eastAsia="zh-CN"/>
        </w:rPr>
        <w:t>.</w:t>
      </w:r>
      <w:r>
        <w:rPr>
          <w:sz w:val="28"/>
          <w:szCs w:val="28"/>
        </w:rPr>
        <w:t>制定专业师资队伍建设规划和计划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29" w:name="bookmark35"/>
      <w:bookmarkEnd w:id="29"/>
      <w:r>
        <w:rPr>
          <w:rFonts w:hint="eastAsia" w:eastAsia="宋体"/>
          <w:sz w:val="28"/>
          <w:szCs w:val="28"/>
          <w:lang w:eastAsia="zh-CN"/>
        </w:rPr>
        <w:t>２</w:t>
      </w:r>
      <w:r>
        <w:rPr>
          <w:rFonts w:hint="eastAsia" w:eastAsia="宋体"/>
          <w:sz w:val="28"/>
          <w:szCs w:val="28"/>
          <w:lang w:val="en-US" w:eastAsia="zh-CN"/>
        </w:rPr>
        <w:t>.</w:t>
      </w:r>
      <w:r>
        <w:rPr>
          <w:sz w:val="28"/>
          <w:szCs w:val="28"/>
        </w:rPr>
        <w:t>专业带头人培养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30" w:name="bookmark36"/>
      <w:bookmarkEnd w:id="30"/>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制定专业带头人培养计划；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31" w:name="bookmark37"/>
      <w:bookmarkEnd w:id="31"/>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按计划进行培养；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32" w:name="bookmark38"/>
      <w:bookmarkEnd w:id="32"/>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对专业带头人培养效果进行分析。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33" w:name="bookmark39"/>
      <w:bookmarkEnd w:id="33"/>
      <w:r>
        <w:rPr>
          <w:rFonts w:hint="eastAsia"/>
          <w:sz w:val="28"/>
          <w:szCs w:val="28"/>
          <w:lang w:val="en-US" w:eastAsia="zh-CN"/>
        </w:rPr>
        <w:t>３.</w:t>
      </w:r>
      <w:r>
        <w:rPr>
          <w:sz w:val="28"/>
          <w:szCs w:val="28"/>
          <w:lang w:val="zh-CN" w:eastAsia="zh-CN"/>
        </w:rPr>
        <w:t>骨</w:t>
      </w:r>
      <w:r>
        <w:rPr>
          <w:sz w:val="28"/>
          <w:szCs w:val="28"/>
        </w:rPr>
        <w:t>干教师培养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34" w:name="bookmark40"/>
      <w:bookmarkEnd w:id="34"/>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制定专业骨干教师培养计划；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35" w:name="bookmark41"/>
      <w:bookmarkEnd w:id="35"/>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按计划进行培养；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36" w:name="bookmark42"/>
      <w:bookmarkEnd w:id="36"/>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对骨干教师培养效果进行分析。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37" w:name="bookmark43"/>
      <w:bookmarkEnd w:id="37"/>
      <w:r>
        <w:rPr>
          <w:rFonts w:hint="eastAsia"/>
          <w:sz w:val="28"/>
          <w:szCs w:val="28"/>
          <w:lang w:val="en-US" w:eastAsia="zh-CN"/>
        </w:rPr>
        <w:t>４.</w:t>
      </w:r>
      <w:r>
        <w:rPr>
          <w:sz w:val="28"/>
          <w:szCs w:val="28"/>
          <w:lang w:val="zh-CN" w:eastAsia="zh-CN"/>
        </w:rPr>
        <w:t>双师</w:t>
      </w:r>
      <w:r>
        <w:rPr>
          <w:sz w:val="28"/>
          <w:szCs w:val="28"/>
        </w:rPr>
        <w:t>素质教师培养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38" w:name="bookmark44"/>
      <w:bookmarkEnd w:id="38"/>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制定双师素质教师培养计划；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39" w:name="bookmark45"/>
      <w:bookmarkEnd w:id="39"/>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按计划进行培养；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40" w:name="bookmark46"/>
      <w:bookmarkEnd w:id="40"/>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对双师素质教师培养效果进行分析。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41" w:name="bookmark47"/>
      <w:bookmarkEnd w:id="41"/>
      <w:r>
        <w:rPr>
          <w:rFonts w:hint="eastAsia"/>
          <w:sz w:val="28"/>
          <w:szCs w:val="28"/>
          <w:lang w:val="en-US" w:eastAsia="zh-CN"/>
        </w:rPr>
        <w:t>５.</w:t>
      </w:r>
      <w:r>
        <w:rPr>
          <w:sz w:val="28"/>
          <w:szCs w:val="28"/>
          <w:lang w:val="zh-CN" w:eastAsia="zh-CN"/>
        </w:rPr>
        <w:t>兼职</w:t>
      </w:r>
      <w:r>
        <w:rPr>
          <w:sz w:val="28"/>
          <w:szCs w:val="28"/>
        </w:rPr>
        <w:t>教师队伍建设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42" w:name="bookmark48"/>
      <w:bookmarkEnd w:id="42"/>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建立兼职教师信息库；</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43" w:name="bookmark49"/>
      <w:bookmarkEnd w:id="43"/>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按照兼职教师聘任机制，积极聘请兼职教师；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44" w:name="bookmark50"/>
      <w:bookmarkEnd w:id="44"/>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进行兼职教师教学能力以及职业教育理念的培训；</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45" w:name="bookmark51"/>
      <w:bookmarkEnd w:id="45"/>
      <w:r>
        <w:rPr>
          <w:rFonts w:hint="eastAsia"/>
          <w:sz w:val="28"/>
          <w:szCs w:val="28"/>
          <w:lang w:eastAsia="zh-CN"/>
        </w:rPr>
        <w:t>（</w:t>
      </w:r>
      <w:r>
        <w:rPr>
          <w:rFonts w:hint="eastAsia"/>
          <w:sz w:val="28"/>
          <w:szCs w:val="28"/>
          <w:lang w:val="en-US" w:eastAsia="zh-CN"/>
        </w:rPr>
        <w:t>4</w:t>
      </w:r>
      <w:r>
        <w:rPr>
          <w:rFonts w:hint="eastAsia"/>
          <w:sz w:val="28"/>
          <w:szCs w:val="28"/>
          <w:lang w:eastAsia="zh-CN"/>
        </w:rPr>
        <w:t>）</w:t>
      </w:r>
      <w:r>
        <w:rPr>
          <w:sz w:val="28"/>
          <w:szCs w:val="28"/>
        </w:rPr>
        <w:t>对兼职教师工作情况进行分析。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sz w:val="28"/>
          <w:szCs w:val="28"/>
          <w:lang w:eastAsia="zh-CN"/>
        </w:rPr>
        <w:t>（</w:t>
      </w:r>
      <w:r>
        <w:rPr>
          <w:rFonts w:hint="eastAsia"/>
          <w:sz w:val="28"/>
          <w:szCs w:val="28"/>
          <w:lang w:val="en-US" w:eastAsia="zh-CN"/>
        </w:rPr>
        <w:t>三</w:t>
      </w:r>
      <w:r>
        <w:rPr>
          <w:rFonts w:hint="eastAsia"/>
          <w:sz w:val="28"/>
          <w:szCs w:val="28"/>
          <w:lang w:eastAsia="zh-CN"/>
        </w:rPr>
        <w:t>）</w:t>
      </w:r>
      <w:r>
        <w:rPr>
          <w:sz w:val="28"/>
          <w:szCs w:val="28"/>
        </w:rPr>
        <w:t>实践教学条件建设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sz w:val="28"/>
          <w:szCs w:val="28"/>
        </w:rPr>
        <w:t>根据</w:t>
      </w:r>
      <w:r>
        <w:rPr>
          <w:rFonts w:hint="eastAsia" w:eastAsia="宋体"/>
          <w:sz w:val="28"/>
          <w:szCs w:val="28"/>
          <w:lang w:eastAsia="zh-CN"/>
        </w:rPr>
        <w:t>《</w:t>
      </w:r>
      <w:r>
        <w:rPr>
          <w:rFonts w:hint="eastAsia" w:eastAsia="宋体"/>
          <w:sz w:val="28"/>
          <w:szCs w:val="28"/>
          <w:lang w:val="en-US" w:eastAsia="zh-CN"/>
        </w:rPr>
        <w:t>高等职业学校专业实训教学条件建设标准</w:t>
      </w:r>
      <w:r>
        <w:rPr>
          <w:rFonts w:hint="eastAsia" w:eastAsia="宋体"/>
          <w:sz w:val="28"/>
          <w:szCs w:val="28"/>
          <w:lang w:eastAsia="zh-CN"/>
        </w:rPr>
        <w:t>》</w:t>
      </w:r>
      <w:r>
        <w:rPr>
          <w:rFonts w:hint="eastAsia" w:eastAsia="宋体"/>
          <w:sz w:val="28"/>
          <w:szCs w:val="28"/>
          <w:lang w:val="en-US" w:eastAsia="zh-CN"/>
        </w:rPr>
        <w:t>和</w:t>
      </w:r>
      <w:r>
        <w:rPr>
          <w:sz w:val="28"/>
          <w:szCs w:val="28"/>
        </w:rPr>
        <w:t>专业人才培养</w:t>
      </w:r>
      <w:r>
        <w:rPr>
          <w:rFonts w:hint="eastAsia" w:eastAsia="宋体"/>
          <w:sz w:val="28"/>
          <w:szCs w:val="28"/>
          <w:lang w:val="en-US" w:eastAsia="zh-CN"/>
        </w:rPr>
        <w:t>方案及</w:t>
      </w:r>
      <w:r>
        <w:rPr>
          <w:sz w:val="28"/>
          <w:szCs w:val="28"/>
        </w:rPr>
        <w:t>专业教学改革的需要，逐步改善专业实践教学条件，完善专业实践教学文件。具体有：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eastAsia="宋体"/>
          <w:sz w:val="28"/>
          <w:szCs w:val="28"/>
          <w:lang w:eastAsia="zh-CN"/>
        </w:rPr>
        <w:t>１</w:t>
      </w:r>
      <w:r>
        <w:rPr>
          <w:rFonts w:hint="eastAsia" w:eastAsia="宋体"/>
          <w:sz w:val="28"/>
          <w:szCs w:val="28"/>
          <w:lang w:val="en-US" w:eastAsia="zh-CN"/>
        </w:rPr>
        <w:t>.</w:t>
      </w:r>
      <w:r>
        <w:rPr>
          <w:sz w:val="28"/>
          <w:szCs w:val="28"/>
          <w:lang w:val="zh-CN" w:eastAsia="zh-CN"/>
        </w:rPr>
        <w:t>校内</w:t>
      </w:r>
      <w:r>
        <w:rPr>
          <w:sz w:val="28"/>
          <w:szCs w:val="28"/>
        </w:rPr>
        <w:t>实验实训室硬件建设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46" w:name="bookmark53"/>
      <w:bookmarkEnd w:id="46"/>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根据专业知识、技能、态度要求和专业课程体系，制定校内实验 实训条件建设规划和建设计划；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47" w:name="bookmark54"/>
      <w:bookmarkEnd w:id="47"/>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根据建设计划制定具体的实验实训室建设方案，并组织有关校内 外专家进行论证；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48" w:name="bookmark55"/>
      <w:bookmarkEnd w:id="48"/>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结合实际，将计划和方案报有关部门审批立项；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49" w:name="bookmark56"/>
      <w:bookmarkEnd w:id="49"/>
      <w:r>
        <w:rPr>
          <w:rFonts w:hint="eastAsia"/>
          <w:sz w:val="28"/>
          <w:szCs w:val="28"/>
          <w:lang w:eastAsia="zh-CN"/>
        </w:rPr>
        <w:t>（</w:t>
      </w:r>
      <w:r>
        <w:rPr>
          <w:rFonts w:hint="eastAsia"/>
          <w:sz w:val="28"/>
          <w:szCs w:val="28"/>
          <w:lang w:val="en-US" w:eastAsia="zh-CN"/>
        </w:rPr>
        <w:t>4</w:t>
      </w:r>
      <w:r>
        <w:rPr>
          <w:rFonts w:hint="eastAsia"/>
          <w:sz w:val="28"/>
          <w:szCs w:val="28"/>
          <w:lang w:eastAsia="zh-CN"/>
        </w:rPr>
        <w:t>）</w:t>
      </w:r>
      <w:r>
        <w:rPr>
          <w:sz w:val="28"/>
          <w:szCs w:val="28"/>
        </w:rPr>
        <w:t>依照批准项目进行建设。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50" w:name="bookmark57"/>
      <w:bookmarkEnd w:id="50"/>
      <w:r>
        <w:rPr>
          <w:rFonts w:hint="eastAsia" w:eastAsia="宋体"/>
          <w:sz w:val="28"/>
          <w:szCs w:val="28"/>
          <w:lang w:eastAsia="zh-CN"/>
        </w:rPr>
        <w:t>２</w:t>
      </w:r>
      <w:r>
        <w:rPr>
          <w:rFonts w:hint="eastAsia" w:eastAsia="宋体"/>
          <w:sz w:val="28"/>
          <w:szCs w:val="28"/>
          <w:lang w:val="en-US" w:eastAsia="zh-CN"/>
        </w:rPr>
        <w:t>.</w:t>
      </w:r>
      <w:r>
        <w:rPr>
          <w:sz w:val="28"/>
          <w:szCs w:val="28"/>
        </w:rPr>
        <w:t>校内实验实训室内涵建设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51" w:name="bookmark58"/>
      <w:bookmarkEnd w:id="51"/>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根据专业知识、技能、态度要求和专业课程体系，制定校内实验 实训内涵建设规划和建设计划；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eastAsia="宋体"/>
          <w:sz w:val="28"/>
          <w:szCs w:val="28"/>
          <w:lang w:eastAsia="zh-CN"/>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根据建设计划制定具体的建设方案，并组织有关校内外专家论证</w:t>
      </w:r>
      <w:bookmarkStart w:id="52" w:name="bookmark60"/>
      <w:bookmarkEnd w:id="52"/>
      <w:r>
        <w:rPr>
          <w:rFonts w:hint="eastAsia" w:eastAsia="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结合实际，将计划和方案报</w:t>
      </w:r>
      <w:r>
        <w:rPr>
          <w:rFonts w:hint="eastAsia" w:eastAsia="宋体"/>
          <w:sz w:val="28"/>
          <w:szCs w:val="28"/>
          <w:lang w:val="en-US" w:eastAsia="zh-CN"/>
        </w:rPr>
        <w:t>实验实训中心</w:t>
      </w:r>
      <w:r>
        <w:rPr>
          <w:sz w:val="28"/>
          <w:szCs w:val="28"/>
        </w:rPr>
        <w:t>审批；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53" w:name="bookmark61"/>
      <w:bookmarkEnd w:id="53"/>
      <w:r>
        <w:rPr>
          <w:rFonts w:hint="eastAsia"/>
          <w:sz w:val="28"/>
          <w:szCs w:val="28"/>
          <w:lang w:eastAsia="zh-CN"/>
        </w:rPr>
        <w:t>（</w:t>
      </w:r>
      <w:r>
        <w:rPr>
          <w:rFonts w:hint="eastAsia"/>
          <w:sz w:val="28"/>
          <w:szCs w:val="28"/>
          <w:lang w:val="en-US" w:eastAsia="zh-CN"/>
        </w:rPr>
        <w:t>4</w:t>
      </w:r>
      <w:r>
        <w:rPr>
          <w:rFonts w:hint="eastAsia"/>
          <w:sz w:val="28"/>
          <w:szCs w:val="28"/>
          <w:lang w:eastAsia="zh-CN"/>
        </w:rPr>
        <w:t>）</w:t>
      </w:r>
      <w:r>
        <w:rPr>
          <w:sz w:val="28"/>
          <w:szCs w:val="28"/>
        </w:rPr>
        <w:t>完善校内实验实训室的各种教学资料。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54" w:name="bookmark62"/>
      <w:bookmarkEnd w:id="54"/>
      <w:r>
        <w:rPr>
          <w:rFonts w:hint="eastAsia" w:eastAsia="宋体"/>
          <w:sz w:val="28"/>
          <w:szCs w:val="28"/>
          <w:lang w:eastAsia="zh-CN"/>
        </w:rPr>
        <w:t>３</w:t>
      </w:r>
      <w:r>
        <w:rPr>
          <w:rFonts w:hint="eastAsia" w:eastAsia="宋体"/>
          <w:sz w:val="28"/>
          <w:szCs w:val="28"/>
          <w:lang w:val="en-US" w:eastAsia="zh-CN"/>
        </w:rPr>
        <w:t>.</w:t>
      </w:r>
      <w:r>
        <w:rPr>
          <w:sz w:val="28"/>
          <w:szCs w:val="28"/>
        </w:rPr>
        <w:t>校外实训实习基地建设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55" w:name="bookmark63"/>
      <w:bookmarkEnd w:id="55"/>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根据专业培养目标，结合认识实习、</w:t>
      </w:r>
      <w:r>
        <w:rPr>
          <w:rFonts w:hint="eastAsia" w:eastAsia="宋体"/>
          <w:sz w:val="28"/>
          <w:szCs w:val="28"/>
          <w:lang w:val="en-US" w:eastAsia="zh-CN"/>
        </w:rPr>
        <w:t>岗位</w:t>
      </w:r>
      <w:r>
        <w:rPr>
          <w:sz w:val="28"/>
          <w:szCs w:val="28"/>
        </w:rPr>
        <w:t>实习(顶岗实习)、综 合实训等需要，建立校企合作、工学结合的校外实训、实习基地；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56" w:name="bookmark64"/>
      <w:bookmarkEnd w:id="56"/>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创新与完善校外实训实习基地的运行机制，建立校外实训实习基 地的教学模式；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57" w:name="bookmark65"/>
      <w:bookmarkEnd w:id="57"/>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建立校外实训实习基地的师资队伍；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58" w:name="bookmark66"/>
      <w:bookmarkEnd w:id="58"/>
      <w:r>
        <w:rPr>
          <w:rFonts w:hint="eastAsia"/>
          <w:sz w:val="28"/>
          <w:szCs w:val="28"/>
          <w:lang w:eastAsia="zh-CN"/>
        </w:rPr>
        <w:t>（</w:t>
      </w:r>
      <w:r>
        <w:rPr>
          <w:rFonts w:hint="eastAsia"/>
          <w:sz w:val="28"/>
          <w:szCs w:val="28"/>
          <w:lang w:val="en-US" w:eastAsia="zh-CN"/>
        </w:rPr>
        <w:t>4</w:t>
      </w:r>
      <w:r>
        <w:rPr>
          <w:rFonts w:hint="eastAsia"/>
          <w:sz w:val="28"/>
          <w:szCs w:val="28"/>
          <w:lang w:eastAsia="zh-CN"/>
        </w:rPr>
        <w:t>）</w:t>
      </w:r>
      <w:r>
        <w:rPr>
          <w:sz w:val="28"/>
          <w:szCs w:val="28"/>
        </w:rPr>
        <w:t>完善校外实训实习基地的各种教学资料。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59" w:name="bookmark67"/>
      <w:bookmarkEnd w:id="59"/>
      <w:r>
        <w:rPr>
          <w:rFonts w:hint="eastAsia"/>
          <w:sz w:val="28"/>
          <w:szCs w:val="28"/>
          <w:lang w:eastAsia="zh-CN"/>
        </w:rPr>
        <w:t>（</w:t>
      </w:r>
      <w:r>
        <w:rPr>
          <w:rFonts w:hint="eastAsia"/>
          <w:sz w:val="28"/>
          <w:szCs w:val="28"/>
          <w:lang w:val="en-US" w:eastAsia="zh-CN"/>
        </w:rPr>
        <w:t>四</w:t>
      </w:r>
      <w:r>
        <w:rPr>
          <w:rFonts w:hint="eastAsia"/>
          <w:sz w:val="28"/>
          <w:szCs w:val="28"/>
          <w:lang w:eastAsia="zh-CN"/>
        </w:rPr>
        <w:t>）</w:t>
      </w:r>
      <w:r>
        <w:rPr>
          <w:sz w:val="28"/>
          <w:szCs w:val="28"/>
        </w:rPr>
        <w:t>教学研究与改革</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eastAsia="宋体"/>
          <w:sz w:val="28"/>
          <w:szCs w:val="28"/>
          <w:lang w:eastAsia="zh-CN"/>
        </w:rPr>
        <w:t>１</w:t>
      </w:r>
      <w:r>
        <w:rPr>
          <w:rFonts w:hint="eastAsia" w:eastAsia="宋体"/>
          <w:sz w:val="28"/>
          <w:szCs w:val="28"/>
          <w:lang w:val="en-US" w:eastAsia="zh-CN"/>
        </w:rPr>
        <w:t>.</w:t>
      </w:r>
      <w:r>
        <w:rPr>
          <w:sz w:val="28"/>
          <w:szCs w:val="28"/>
          <w:lang w:val="zh-CN" w:eastAsia="zh-CN"/>
        </w:rPr>
        <w:t>根据</w:t>
      </w:r>
      <w:r>
        <w:rPr>
          <w:sz w:val="28"/>
          <w:szCs w:val="28"/>
        </w:rPr>
        <w:t>专业人才培养情况，制定专业教学研究与改革的规划和计划；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60" w:name="bookmark68"/>
      <w:bookmarkEnd w:id="60"/>
      <w:r>
        <w:rPr>
          <w:rFonts w:hint="eastAsia" w:eastAsia="宋体"/>
          <w:sz w:val="28"/>
          <w:szCs w:val="28"/>
          <w:lang w:eastAsia="zh-CN"/>
        </w:rPr>
        <w:t>２</w:t>
      </w:r>
      <w:r>
        <w:rPr>
          <w:rFonts w:hint="eastAsia" w:eastAsia="宋体"/>
          <w:sz w:val="28"/>
          <w:szCs w:val="28"/>
          <w:lang w:val="en-US" w:eastAsia="zh-CN"/>
        </w:rPr>
        <w:t>.</w:t>
      </w:r>
      <w:r>
        <w:rPr>
          <w:sz w:val="28"/>
          <w:szCs w:val="28"/>
        </w:rPr>
        <w:t>组织实施教学研究与改革计划；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eastAsia="宋体"/>
          <w:sz w:val="28"/>
          <w:szCs w:val="28"/>
          <w:lang w:eastAsia="zh-CN"/>
        </w:rPr>
      </w:pPr>
      <w:bookmarkStart w:id="61" w:name="bookmark69"/>
      <w:bookmarkEnd w:id="61"/>
      <w:r>
        <w:rPr>
          <w:rFonts w:hint="eastAsia" w:eastAsia="宋体"/>
          <w:sz w:val="28"/>
          <w:szCs w:val="28"/>
          <w:lang w:eastAsia="zh-CN"/>
        </w:rPr>
        <w:t>３</w:t>
      </w:r>
      <w:r>
        <w:rPr>
          <w:rFonts w:hint="eastAsia" w:eastAsia="宋体"/>
          <w:sz w:val="28"/>
          <w:szCs w:val="28"/>
          <w:lang w:val="en-US" w:eastAsia="zh-CN"/>
        </w:rPr>
        <w:t>.</w:t>
      </w:r>
      <w:r>
        <w:rPr>
          <w:sz w:val="28"/>
          <w:szCs w:val="28"/>
        </w:rPr>
        <w:t>积极促进专业教研成果的推广应用</w:t>
      </w:r>
      <w:bookmarkStart w:id="62" w:name="bookmark70"/>
      <w:bookmarkEnd w:id="62"/>
      <w:r>
        <w:rPr>
          <w:rFonts w:hint="eastAsia" w:eastAsia="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sz w:val="28"/>
          <w:szCs w:val="28"/>
          <w:lang w:eastAsia="zh-CN"/>
        </w:rPr>
        <w:t>（</w:t>
      </w:r>
      <w:r>
        <w:rPr>
          <w:rFonts w:hint="eastAsia"/>
          <w:sz w:val="28"/>
          <w:szCs w:val="28"/>
          <w:lang w:val="en-US" w:eastAsia="zh-CN"/>
        </w:rPr>
        <w:t>五</w:t>
      </w:r>
      <w:r>
        <w:rPr>
          <w:rFonts w:hint="eastAsia"/>
          <w:sz w:val="28"/>
          <w:szCs w:val="28"/>
          <w:lang w:eastAsia="zh-CN"/>
        </w:rPr>
        <w:t>）</w:t>
      </w:r>
      <w:r>
        <w:rPr>
          <w:sz w:val="28"/>
          <w:szCs w:val="28"/>
        </w:rPr>
        <w:t>社会服务能力建设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63" w:name="bookmark71"/>
      <w:bookmarkEnd w:id="63"/>
      <w:r>
        <w:rPr>
          <w:rFonts w:hint="eastAsia" w:eastAsia="宋体"/>
          <w:sz w:val="28"/>
          <w:szCs w:val="28"/>
          <w:lang w:eastAsia="zh-CN"/>
        </w:rPr>
        <w:t>１</w:t>
      </w:r>
      <w:r>
        <w:rPr>
          <w:rFonts w:hint="eastAsia" w:eastAsia="宋体"/>
          <w:sz w:val="28"/>
          <w:szCs w:val="28"/>
          <w:lang w:val="en-US" w:eastAsia="zh-CN"/>
        </w:rPr>
        <w:t>.</w:t>
      </w:r>
      <w:r>
        <w:rPr>
          <w:sz w:val="28"/>
          <w:szCs w:val="28"/>
        </w:rPr>
        <w:t>制定专业方面的培训项目开发与创新计划；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64" w:name="bookmark72"/>
      <w:bookmarkEnd w:id="64"/>
      <w:r>
        <w:rPr>
          <w:rFonts w:hint="eastAsia" w:eastAsia="宋体"/>
          <w:sz w:val="28"/>
          <w:szCs w:val="28"/>
          <w:lang w:eastAsia="zh-CN"/>
        </w:rPr>
        <w:t>２</w:t>
      </w:r>
      <w:r>
        <w:rPr>
          <w:rFonts w:hint="eastAsia" w:eastAsia="宋体"/>
          <w:sz w:val="28"/>
          <w:szCs w:val="28"/>
          <w:lang w:val="en-US" w:eastAsia="zh-CN"/>
        </w:rPr>
        <w:t>.</w:t>
      </w:r>
      <w:r>
        <w:rPr>
          <w:sz w:val="28"/>
          <w:szCs w:val="28"/>
        </w:rPr>
        <w:t>结合专业建设开发社会需求的培训项目；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65" w:name="bookmark73"/>
      <w:bookmarkEnd w:id="65"/>
      <w:r>
        <w:rPr>
          <w:rFonts w:hint="eastAsia"/>
          <w:sz w:val="28"/>
          <w:szCs w:val="28"/>
          <w:lang w:val="zh-CN" w:eastAsia="zh-CN"/>
        </w:rPr>
        <w:t>３</w:t>
      </w:r>
      <w:r>
        <w:rPr>
          <w:rFonts w:hint="eastAsia"/>
          <w:sz w:val="28"/>
          <w:szCs w:val="28"/>
          <w:lang w:val="en-US" w:eastAsia="zh-CN"/>
        </w:rPr>
        <w:t>.</w:t>
      </w:r>
      <w:r>
        <w:rPr>
          <w:sz w:val="28"/>
          <w:szCs w:val="28"/>
          <w:lang w:val="zh-CN" w:eastAsia="zh-CN"/>
        </w:rPr>
        <w:t>积</w:t>
      </w:r>
      <w:r>
        <w:rPr>
          <w:sz w:val="28"/>
          <w:szCs w:val="28"/>
        </w:rPr>
        <w:t>极组织开展技术攻关和技术服务，形成科技开发团队，明确研究 方向，结合生产实际进行项目开发和技术服务。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66" w:name="bookmark74"/>
      <w:bookmarkEnd w:id="66"/>
      <w:r>
        <w:rPr>
          <w:rFonts w:hint="eastAsia"/>
          <w:sz w:val="28"/>
          <w:szCs w:val="28"/>
          <w:lang w:eastAsia="zh-CN"/>
        </w:rPr>
        <w:t>（</w:t>
      </w:r>
      <w:r>
        <w:rPr>
          <w:rFonts w:hint="eastAsia"/>
          <w:sz w:val="28"/>
          <w:szCs w:val="28"/>
          <w:lang w:val="en-US" w:eastAsia="zh-CN"/>
        </w:rPr>
        <w:t>六</w:t>
      </w:r>
      <w:r>
        <w:rPr>
          <w:rFonts w:hint="eastAsia"/>
          <w:sz w:val="28"/>
          <w:szCs w:val="28"/>
          <w:lang w:eastAsia="zh-CN"/>
        </w:rPr>
        <w:t>）</w:t>
      </w:r>
      <w:r>
        <w:rPr>
          <w:sz w:val="28"/>
          <w:szCs w:val="28"/>
        </w:rPr>
        <w:t>教学资源建设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eastAsia="宋体"/>
          <w:sz w:val="28"/>
          <w:szCs w:val="28"/>
          <w:lang w:eastAsia="zh-CN"/>
        </w:rPr>
        <w:t>１</w:t>
      </w:r>
      <w:r>
        <w:rPr>
          <w:rFonts w:hint="eastAsia" w:eastAsia="宋体"/>
          <w:sz w:val="28"/>
          <w:szCs w:val="28"/>
          <w:lang w:val="en-US" w:eastAsia="zh-CN"/>
        </w:rPr>
        <w:t>.</w:t>
      </w:r>
      <w:r>
        <w:rPr>
          <w:sz w:val="28"/>
          <w:szCs w:val="28"/>
          <w:lang w:val="zh-CN" w:eastAsia="zh-CN"/>
        </w:rPr>
        <w:t>制定</w:t>
      </w:r>
      <w:r>
        <w:rPr>
          <w:sz w:val="28"/>
          <w:szCs w:val="28"/>
        </w:rPr>
        <w:t>教学资源开发计划；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67" w:name="bookmark75"/>
      <w:bookmarkEnd w:id="67"/>
      <w:r>
        <w:rPr>
          <w:rFonts w:hint="eastAsia" w:eastAsia="宋体"/>
          <w:sz w:val="28"/>
          <w:szCs w:val="28"/>
          <w:lang w:eastAsia="zh-CN"/>
        </w:rPr>
        <w:t>２</w:t>
      </w:r>
      <w:r>
        <w:rPr>
          <w:rFonts w:hint="eastAsia" w:eastAsia="宋体"/>
          <w:sz w:val="28"/>
          <w:szCs w:val="28"/>
          <w:lang w:val="en-US" w:eastAsia="zh-CN"/>
        </w:rPr>
        <w:t>.</w:t>
      </w:r>
      <w:r>
        <w:rPr>
          <w:sz w:val="28"/>
          <w:szCs w:val="28"/>
        </w:rPr>
        <w:t>建立专业资源体系；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bookmarkStart w:id="68" w:name="bookmark76"/>
      <w:bookmarkEnd w:id="68"/>
      <w:r>
        <w:rPr>
          <w:rFonts w:hint="eastAsia"/>
          <w:sz w:val="28"/>
          <w:szCs w:val="28"/>
          <w:lang w:val="zh-CN" w:eastAsia="zh-CN"/>
        </w:rPr>
        <w:t>３</w:t>
      </w:r>
      <w:r>
        <w:rPr>
          <w:rFonts w:hint="eastAsia"/>
          <w:sz w:val="28"/>
          <w:szCs w:val="28"/>
          <w:lang w:val="en-US" w:eastAsia="zh-CN"/>
        </w:rPr>
        <w:t>.</w:t>
      </w:r>
      <w:r>
        <w:rPr>
          <w:sz w:val="28"/>
          <w:szCs w:val="28"/>
          <w:lang w:val="zh-CN" w:eastAsia="zh-CN"/>
        </w:rPr>
        <w:t>进</w:t>
      </w:r>
      <w:r>
        <w:rPr>
          <w:sz w:val="28"/>
          <w:szCs w:val="28"/>
        </w:rPr>
        <w:t>行教学资源的收集、整理，为网络共享资源平台提供素材。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rPr>
          <w:sz w:val="28"/>
          <w:szCs w:val="28"/>
        </w:rPr>
      </w:pPr>
      <w:r>
        <w:rPr>
          <w:rFonts w:hint="eastAsia" w:eastAsia="宋体"/>
          <w:sz w:val="28"/>
          <w:szCs w:val="28"/>
          <w:lang w:val="en-US" w:eastAsia="zh-CN"/>
        </w:rPr>
        <w:t>第五章</w:t>
      </w:r>
      <w:r>
        <w:rPr>
          <w:sz w:val="28"/>
          <w:szCs w:val="28"/>
        </w:rPr>
        <w:t>专业评估、调整与撤消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第十</w:t>
      </w:r>
      <w:r>
        <w:rPr>
          <w:rFonts w:hint="eastAsia" w:eastAsia="宋体"/>
          <w:sz w:val="28"/>
          <w:szCs w:val="28"/>
          <w:lang w:val="en-US" w:eastAsia="zh-CN"/>
        </w:rPr>
        <w:t>五</w:t>
      </w:r>
      <w:r>
        <w:rPr>
          <w:rFonts w:hint="eastAsia"/>
          <w:sz w:val="28"/>
          <w:szCs w:val="28"/>
        </w:rPr>
        <w:t>条 </w:t>
      </w:r>
      <w:r>
        <w:rPr>
          <w:sz w:val="28"/>
          <w:szCs w:val="28"/>
        </w:rPr>
        <w:t>学校建立专业的评估和动态调整机制，把社会需求、招生计划、录取率、报到率、就业率、评估认证结果等作为优化专业布局、调整专业结构的量化指标。</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第十六条</w:t>
      </w:r>
      <w:r>
        <w:rPr>
          <w:rFonts w:hint="default"/>
          <w:sz w:val="28"/>
          <w:szCs w:val="28"/>
        </w:rPr>
        <w:t>  经</w:t>
      </w:r>
      <w:r>
        <w:rPr>
          <w:rFonts w:hint="eastAsia" w:eastAsia="宋体"/>
          <w:sz w:val="28"/>
          <w:szCs w:val="28"/>
          <w:lang w:val="en-US" w:eastAsia="zh-CN"/>
        </w:rPr>
        <w:t>教学指导委员会</w:t>
      </w:r>
      <w:r>
        <w:rPr>
          <w:rFonts w:hint="default"/>
          <w:sz w:val="28"/>
          <w:szCs w:val="28"/>
        </w:rPr>
        <w:t>评议，有下列情况的专业，应给予警示，并根据情形及时采取相应的调整措施：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（一）专业的人才需求不清晰，专业调研报告中对就业市场的专业人才需求情况分析不准确的；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（二）专业生源情况不理想，上一年度招生计划完成率不足</w:t>
      </w:r>
      <w:r>
        <w:rPr>
          <w:rFonts w:hint="default"/>
          <w:sz w:val="28"/>
          <w:szCs w:val="28"/>
          <w:lang w:val="en-US"/>
        </w:rPr>
        <w:t>50%</w:t>
      </w:r>
      <w:r>
        <w:rPr>
          <w:rFonts w:hint="default"/>
          <w:sz w:val="28"/>
          <w:szCs w:val="28"/>
        </w:rPr>
        <w:t>、上一年度报到率低于学校总报到率的</w:t>
      </w:r>
      <w:r>
        <w:rPr>
          <w:rFonts w:hint="default"/>
          <w:sz w:val="28"/>
          <w:szCs w:val="28"/>
          <w:lang w:val="en-US"/>
        </w:rPr>
        <w:t>20%</w:t>
      </w:r>
      <w:r>
        <w:rPr>
          <w:rFonts w:hint="default"/>
          <w:sz w:val="28"/>
          <w:szCs w:val="28"/>
        </w:rPr>
        <w:t>及以下，连续三年无生源或生源极少（年生源数少于</w:t>
      </w:r>
      <w:r>
        <w:rPr>
          <w:rFonts w:hint="default"/>
          <w:sz w:val="28"/>
          <w:szCs w:val="28"/>
          <w:lang w:val="en-US"/>
        </w:rPr>
        <w:t>15</w:t>
      </w:r>
      <w:r>
        <w:rPr>
          <w:rFonts w:hint="default"/>
          <w:sz w:val="28"/>
          <w:szCs w:val="28"/>
        </w:rPr>
        <w:t>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（三）就业质量不理想，协议就业率低于</w:t>
      </w:r>
      <w:r>
        <w:rPr>
          <w:rFonts w:hint="default"/>
          <w:sz w:val="28"/>
          <w:szCs w:val="28"/>
          <w:lang w:val="en-US"/>
        </w:rPr>
        <w:t> 85%</w:t>
      </w:r>
      <w:r>
        <w:rPr>
          <w:rFonts w:hint="default"/>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default"/>
          <w:sz w:val="28"/>
          <w:szCs w:val="28"/>
        </w:rPr>
        <w:t>学校专业设置评议专家组根据相关统计与分析数据，做出专业的警示通报。学校对受到警示的专业，根据情形采取限期整改、调减招生计划、暂停招生、停止招生、撤销该专业等相应的调整措施（无一届毕业生的新办专业除外</w:t>
      </w:r>
      <w:r>
        <w:rPr>
          <w:rFonts w:hint="default"/>
          <w:sz w:val="28"/>
          <w:szCs w:val="28"/>
          <w:lang w:val="en-US"/>
        </w:rPr>
        <w:t>)</w:t>
      </w:r>
      <w:r>
        <w:rPr>
          <w:rFonts w:hint="default"/>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第十七条 </w:t>
      </w:r>
      <w:r>
        <w:rPr>
          <w:rFonts w:hint="default"/>
          <w:sz w:val="28"/>
          <w:szCs w:val="28"/>
        </w:rPr>
        <w:t>对于更改专业名称、改变学制的专业调整情况，一律按新设专业的程序进行。对于需要撤消已设置的专业，应由所在</w:t>
      </w:r>
      <w:r>
        <w:rPr>
          <w:rFonts w:hint="eastAsia" w:eastAsia="宋体"/>
          <w:sz w:val="28"/>
          <w:szCs w:val="28"/>
          <w:lang w:val="en-US" w:eastAsia="zh-CN"/>
        </w:rPr>
        <w:t>教学系</w:t>
      </w:r>
      <w:r>
        <w:rPr>
          <w:rFonts w:hint="default"/>
          <w:sz w:val="28"/>
          <w:szCs w:val="28"/>
        </w:rPr>
        <w:t>写出书面报告、申述停办理由、相应的论证材料，并会同教务处、人事处等有关部门对撤消专业教师提出安排意见后，报学校审批。学校审批通过，报教育厅备案。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center"/>
        <w:textAlignment w:val="auto"/>
        <w:rPr>
          <w:sz w:val="28"/>
          <w:szCs w:val="28"/>
        </w:rPr>
      </w:pPr>
      <w:r>
        <w:rPr>
          <w:sz w:val="28"/>
          <w:szCs w:val="28"/>
        </w:rPr>
        <w:t>第五章  附  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第十八条</w:t>
      </w:r>
      <w:r>
        <w:rPr>
          <w:rFonts w:hint="eastAsia"/>
          <w:sz w:val="28"/>
          <w:szCs w:val="28"/>
          <w:lang w:val="en-US"/>
        </w:rPr>
        <w:t> </w:t>
      </w:r>
      <w:r>
        <w:rPr>
          <w:sz w:val="28"/>
          <w:szCs w:val="28"/>
        </w:rPr>
        <w:t>学校对建设成效显著、有一定特色、有望办成品牌、招生形势好的专业在政策上予以倾斜，增加该专业的经费投入，并在教改立项、教材编写等方面给予</w:t>
      </w:r>
      <w:r>
        <w:rPr>
          <w:rFonts w:hint="eastAsia" w:eastAsia="宋体"/>
          <w:sz w:val="28"/>
          <w:szCs w:val="28"/>
          <w:lang w:val="en-US" w:eastAsia="zh-CN"/>
        </w:rPr>
        <w:t>支持</w:t>
      </w:r>
      <w:r>
        <w:rPr>
          <w:sz w:val="28"/>
          <w:szCs w:val="28"/>
        </w:rPr>
        <w:t>；</w:t>
      </w:r>
      <w:r>
        <w:rPr>
          <w:rFonts w:hint="default"/>
          <w:sz w:val="28"/>
          <w:szCs w:val="28"/>
        </w:rPr>
        <w:t>对建设成效差的专业将减少该专业的招生计划或暂停该专业的招生直至取消该专业。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第十九条 </w:t>
      </w:r>
      <w:r>
        <w:rPr>
          <w:rFonts w:hint="eastAsia" w:eastAsia="宋体"/>
          <w:sz w:val="28"/>
          <w:szCs w:val="28"/>
          <w:lang w:val="en-US" w:eastAsia="zh-CN"/>
        </w:rPr>
        <w:t xml:space="preserve"> </w:t>
      </w:r>
      <w:r>
        <w:rPr>
          <w:rFonts w:hint="default"/>
          <w:sz w:val="28"/>
          <w:szCs w:val="28"/>
        </w:rPr>
        <w:t>本办法由教务处负责解释。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sz w:val="28"/>
          <w:szCs w:val="28"/>
        </w:rPr>
        <w:t>第二十条</w:t>
      </w:r>
      <w:r>
        <w:rPr>
          <w:sz w:val="28"/>
          <w:szCs w:val="28"/>
          <w:lang w:val="en-US"/>
        </w:rPr>
        <w:t> </w:t>
      </w:r>
      <w:r>
        <w:rPr>
          <w:rFonts w:hint="default"/>
          <w:sz w:val="28"/>
          <w:szCs w:val="28"/>
        </w:rPr>
        <w:t>本办法自发布之日起施行。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p>
    <w:bookmarkEnd w:id="3"/>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eastAsia="宋体"/>
          <w:sz w:val="28"/>
          <w:szCs w:val="28"/>
          <w:lang w:val="en-US" w:eastAsia="zh-CN"/>
        </w:rPr>
        <w:t>附：达州中医药职业学院</w:t>
      </w:r>
      <w:r>
        <w:rPr>
          <w:sz w:val="28"/>
          <w:szCs w:val="28"/>
        </w:rPr>
        <w:t>专业建设评审标准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880" w:firstLineChars="2100"/>
        <w:textAlignment w:val="auto"/>
        <w:rPr>
          <w:rFonts w:hint="eastAsia"/>
          <w:sz w:val="28"/>
          <w:szCs w:val="28"/>
          <w:lang w:val="en-US" w:eastAsia="zh-CN"/>
        </w:rPr>
      </w:pPr>
      <w:r>
        <w:rPr>
          <w:rFonts w:hint="eastAsia"/>
          <w:sz w:val="28"/>
          <w:szCs w:val="28"/>
          <w:lang w:val="en-US" w:eastAsia="zh-CN"/>
        </w:rPr>
        <w:t>达州中医药职业学院</w:t>
      </w:r>
    </w:p>
    <w:p>
      <w:pPr>
        <w:keepNext w:val="0"/>
        <w:keepLines w:val="0"/>
        <w:pageBreakBefore w:val="0"/>
        <w:widowControl w:val="0"/>
        <w:kinsoku/>
        <w:wordWrap/>
        <w:overflowPunct/>
        <w:topLinePunct w:val="0"/>
        <w:autoSpaceDE/>
        <w:autoSpaceDN/>
        <w:bidi w:val="0"/>
        <w:adjustRightInd w:val="0"/>
        <w:snapToGrid w:val="0"/>
        <w:spacing w:line="360" w:lineRule="auto"/>
        <w:ind w:firstLine="6440" w:firstLineChars="2300"/>
        <w:textAlignment w:val="auto"/>
        <w:rPr>
          <w:rFonts w:hint="eastAsia"/>
          <w:sz w:val="28"/>
          <w:szCs w:val="28"/>
          <w:lang w:eastAsia="zh-CN"/>
        </w:rPr>
        <w:sectPr>
          <w:headerReference r:id="rId7" w:type="first"/>
          <w:footerReference r:id="rId10" w:type="first"/>
          <w:headerReference r:id="rId5" w:type="default"/>
          <w:footerReference r:id="rId8" w:type="default"/>
          <w:headerReference r:id="rId6" w:type="even"/>
          <w:footerReference r:id="rId9" w:type="even"/>
          <w:footnotePr>
            <w:numFmt w:val="decimal"/>
          </w:footnotePr>
          <w:pgSz w:w="11900" w:h="16840"/>
          <w:pgMar w:top="1394" w:right="1414" w:bottom="1670" w:left="1414" w:header="0" w:footer="0" w:gutter="0"/>
          <w:pgNumType w:fmt="decimal"/>
          <w:cols w:space="720" w:num="1"/>
          <w:titlePg/>
          <w:rtlGutter w:val="0"/>
          <w:docGrid w:linePitch="360" w:charSpace="0"/>
        </w:sectPr>
      </w:pPr>
      <w:r>
        <w:rPr>
          <w:rFonts w:hint="eastAsia"/>
          <w:sz w:val="28"/>
          <w:szCs w:val="28"/>
          <w:lang w:val="en-US" w:eastAsia="zh-CN"/>
        </w:rPr>
        <w:t>2022年4月26</w:t>
      </w:r>
    </w:p>
    <w:p>
      <w:pPr>
        <w:pStyle w:val="17"/>
        <w:keepNext/>
        <w:keepLines/>
        <w:widowControl w:val="0"/>
        <w:shd w:val="clear" w:color="auto" w:fill="auto"/>
        <w:bidi w:val="0"/>
        <w:spacing w:before="0" w:after="0" w:line="240" w:lineRule="auto"/>
        <w:ind w:left="0" w:right="0" w:firstLine="0"/>
        <w:jc w:val="center"/>
        <w:rPr>
          <w:color w:val="auto"/>
        </w:rPr>
      </w:pPr>
      <w:bookmarkStart w:id="69" w:name="bookmark52"/>
      <w:bookmarkEnd w:id="69"/>
      <w:bookmarkStart w:id="70" w:name="bookmark34"/>
      <w:bookmarkEnd w:id="70"/>
      <w:bookmarkStart w:id="71" w:name="bookmark77"/>
      <w:bookmarkStart w:id="72" w:name="bookmark78"/>
      <w:bookmarkStart w:id="73" w:name="bookmark79"/>
      <w:r>
        <w:rPr>
          <w:rFonts w:hint="eastAsia"/>
          <w:color w:val="auto"/>
          <w:spacing w:val="0"/>
          <w:w w:val="100"/>
          <w:position w:val="0"/>
          <w:lang w:val="en-US" w:eastAsia="zh-CN"/>
        </w:rPr>
        <w:t>达州中医药职业学院</w:t>
      </w:r>
      <w:r>
        <w:rPr>
          <w:color w:val="auto"/>
          <w:spacing w:val="0"/>
          <w:w w:val="100"/>
          <w:position w:val="0"/>
        </w:rPr>
        <w:t>专业建设评审标准</w:t>
      </w:r>
    </w:p>
    <w:tbl>
      <w:tblPr>
        <w:tblStyle w:val="5"/>
        <w:tblW w:w="0" w:type="auto"/>
        <w:jc w:val="center"/>
        <w:tblLayout w:type="fixed"/>
        <w:tblCellMar>
          <w:top w:w="0" w:type="dxa"/>
          <w:left w:w="10" w:type="dxa"/>
          <w:bottom w:w="0" w:type="dxa"/>
          <w:right w:w="10" w:type="dxa"/>
        </w:tblCellMar>
      </w:tblPr>
      <w:tblGrid>
        <w:gridCol w:w="696"/>
        <w:gridCol w:w="1392"/>
        <w:gridCol w:w="6234"/>
        <w:gridCol w:w="2406"/>
        <w:gridCol w:w="720"/>
        <w:gridCol w:w="3108"/>
      </w:tblGrid>
      <w:tr>
        <w:tblPrEx>
          <w:tblCellMar>
            <w:top w:w="0" w:type="dxa"/>
            <w:left w:w="10" w:type="dxa"/>
            <w:bottom w:w="0" w:type="dxa"/>
            <w:right w:w="10" w:type="dxa"/>
          </w:tblCellMar>
        </w:tblPrEx>
        <w:trPr>
          <w:trHeight w:val="420" w:hRule="exact"/>
          <w:jc w:val="center"/>
        </w:trPr>
        <w:tc>
          <w:tcPr>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评审指标</w:t>
            </w:r>
          </w:p>
        </w:tc>
        <w:tc>
          <w:tcPr>
            <w:tcW w:w="6234"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评分标准要求</w:t>
            </w:r>
          </w:p>
        </w:tc>
        <w:tc>
          <w:tcPr>
            <w:tcW w:w="2406"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依据</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得分</w:t>
            </w:r>
          </w:p>
        </w:tc>
        <w:tc>
          <w:tcPr>
            <w:vMerge w:val="restart"/>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考察方式</w:t>
            </w:r>
          </w:p>
        </w:tc>
      </w:tr>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88" w:lineRule="exact"/>
              <w:ind w:left="0" w:right="0" w:firstLine="0"/>
              <w:jc w:val="both"/>
              <w:rPr>
                <w:color w:val="auto"/>
                <w:sz w:val="22"/>
                <w:szCs w:val="22"/>
              </w:rPr>
            </w:pPr>
            <w:r>
              <w:rPr>
                <w:color w:val="auto"/>
                <w:spacing w:val="0"/>
                <w:w w:val="100"/>
                <w:position w:val="0"/>
                <w:sz w:val="22"/>
                <w:szCs w:val="22"/>
                <w:lang w:val="zh-CN" w:eastAsia="zh-CN" w:bidi="zh-CN"/>
              </w:rPr>
              <w:t xml:space="preserve">一级 </w:t>
            </w:r>
            <w:r>
              <w:rPr>
                <w:color w:val="auto"/>
                <w:spacing w:val="0"/>
                <w:w w:val="100"/>
                <w:position w:val="0"/>
                <w:sz w:val="22"/>
                <w:szCs w:val="22"/>
              </w:rPr>
              <w:t>指标</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二级指标</w:t>
            </w:r>
          </w:p>
        </w:tc>
        <w:tc>
          <w:tcPr>
            <w:tcW w:w="6234" w:type="dxa"/>
            <w:vMerge w:val="continue"/>
            <w:tcBorders>
              <w:left w:val="single" w:color="auto" w:sz="4" w:space="0"/>
            </w:tcBorders>
            <w:shd w:val="clear" w:color="auto" w:fill="FFFFFF"/>
            <w:vAlign w:val="center"/>
          </w:tcPr>
          <w:p>
            <w:pPr>
              <w:rPr>
                <w:color w:val="auto"/>
                <w:sz w:val="21"/>
                <w:szCs w:val="21"/>
              </w:rPr>
            </w:pPr>
          </w:p>
        </w:tc>
        <w:tc>
          <w:tcPr>
            <w:tcW w:w="2406" w:type="dxa"/>
            <w:vMerge w:val="continue"/>
            <w:tcBorders>
              <w:left w:val="single" w:color="auto" w:sz="4" w:space="0"/>
            </w:tcBorders>
            <w:shd w:val="clear" w:color="auto" w:fill="FFFFFF"/>
            <w:vAlign w:val="center"/>
          </w:tcPr>
          <w:p>
            <w:pPr>
              <w:rPr>
                <w:color w:val="auto"/>
                <w:sz w:val="21"/>
                <w:szCs w:val="21"/>
              </w:rPr>
            </w:pPr>
          </w:p>
        </w:tc>
        <w:tc>
          <w:tcPr>
            <w:vMerge w:val="continue"/>
            <w:tcBorders>
              <w:left w:val="single" w:color="auto" w:sz="4" w:space="0"/>
            </w:tcBorders>
            <w:shd w:val="clear" w:color="auto" w:fill="FFFFFF"/>
            <w:vAlign w:val="center"/>
          </w:tcPr>
          <w:p>
            <w:pPr>
              <w:rPr>
                <w:color w:val="auto"/>
                <w:sz w:val="21"/>
                <w:szCs w:val="21"/>
              </w:rPr>
            </w:pPr>
          </w:p>
        </w:tc>
        <w:tc>
          <w:tcPr>
            <w:vMerge w:val="continue"/>
            <w:tcBorders>
              <w:left w:val="single" w:color="auto" w:sz="4" w:space="0"/>
              <w:right w:val="single" w:color="auto" w:sz="4" w:space="0"/>
            </w:tcBorders>
            <w:shd w:val="clear" w:color="auto" w:fill="FFFFFF"/>
            <w:vAlign w:val="center"/>
          </w:tcPr>
          <w:p>
            <w:pPr>
              <w:rPr>
                <w:color w:val="auto"/>
                <w:sz w:val="21"/>
                <w:szCs w:val="21"/>
              </w:rPr>
            </w:pPr>
          </w:p>
        </w:tc>
      </w:tr>
      <w:tr>
        <w:tblPrEx>
          <w:tblCellMar>
            <w:top w:w="0" w:type="dxa"/>
            <w:left w:w="10" w:type="dxa"/>
            <w:bottom w:w="0" w:type="dxa"/>
            <w:right w:w="10" w:type="dxa"/>
          </w:tblCellMar>
        </w:tblPrEx>
        <w:trPr>
          <w:trHeight w:val="1536" w:hRule="exact"/>
          <w:jc w:val="center"/>
        </w:trPr>
        <w:tc>
          <w:tcPr>
            <w:vMerge w:val="restart"/>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84" w:lineRule="exact"/>
              <w:ind w:left="0" w:right="0" w:firstLine="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一、</w:t>
            </w:r>
          </w:p>
          <w:p>
            <w:pPr>
              <w:pStyle w:val="19"/>
              <w:keepNext w:val="0"/>
              <w:keepLines w:val="0"/>
              <w:widowControl w:val="0"/>
              <w:shd w:val="clear" w:color="auto" w:fill="auto"/>
              <w:bidi w:val="0"/>
              <w:spacing w:before="0" w:after="0" w:line="284" w:lineRule="exact"/>
              <w:ind w:left="0" w:right="0" w:firstLine="0"/>
              <w:jc w:val="left"/>
              <w:rPr>
                <w:color w:val="auto"/>
                <w:sz w:val="22"/>
                <w:szCs w:val="22"/>
              </w:rPr>
            </w:pPr>
            <w:r>
              <w:rPr>
                <w:color w:val="auto"/>
                <w:spacing w:val="0"/>
                <w:w w:val="100"/>
                <w:position w:val="0"/>
                <w:sz w:val="22"/>
                <w:szCs w:val="22"/>
              </w:rPr>
              <w:t>专业 建设 组织 措施</w:t>
            </w:r>
            <w:r>
              <w:rPr>
                <w:rFonts w:ascii="Times New Roman" w:hAnsi="Times New Roman" w:eastAsia="Times New Roman" w:cs="Times New Roman"/>
                <w:b/>
                <w:bCs/>
                <w:color w:val="auto"/>
                <w:spacing w:val="0"/>
                <w:w w:val="100"/>
                <w:position w:val="0"/>
                <w:sz w:val="24"/>
                <w:szCs w:val="24"/>
              </w:rPr>
              <w:t xml:space="preserve">（5 </w:t>
            </w:r>
            <w:r>
              <w:rPr>
                <w:color w:val="auto"/>
                <w:spacing w:val="0"/>
                <w:w w:val="100"/>
                <w:position w:val="0"/>
                <w:sz w:val="22"/>
                <w:szCs w:val="22"/>
              </w:rPr>
              <w:t>分）</w:t>
            </w:r>
          </w:p>
          <w:p>
            <w:pPr>
              <w:pStyle w:val="19"/>
              <w:keepNext w:val="0"/>
              <w:keepLines w:val="0"/>
              <w:widowControl w:val="0"/>
              <w:shd w:val="clear" w:color="auto" w:fill="auto"/>
              <w:bidi w:val="0"/>
              <w:spacing w:before="0" w:after="0" w:line="312" w:lineRule="exact"/>
              <w:ind w:left="0" w:right="0" w:firstLine="180"/>
              <w:jc w:val="left"/>
              <w:rPr>
                <w:color w:val="auto"/>
                <w:sz w:val="22"/>
                <w:szCs w:val="22"/>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6" w:lineRule="exact"/>
              <w:ind w:left="0" w:right="0" w:firstLine="0"/>
              <w:jc w:val="both"/>
              <w:rPr>
                <w:color w:val="auto"/>
                <w:sz w:val="22"/>
                <w:szCs w:val="22"/>
              </w:rPr>
            </w:pPr>
            <w:r>
              <w:rPr>
                <w:rFonts w:ascii="Times New Roman" w:hAnsi="Times New Roman" w:eastAsia="Times New Roman" w:cs="Times New Roman"/>
                <w:b/>
                <w:bCs/>
                <w:color w:val="auto"/>
                <w:spacing w:val="0"/>
                <w:w w:val="100"/>
                <w:position w:val="0"/>
                <w:sz w:val="24"/>
                <w:szCs w:val="24"/>
                <w:lang w:val="zh-CN" w:eastAsia="zh-CN" w:bidi="zh-CN"/>
              </w:rPr>
              <w:t>1-1</w:t>
            </w:r>
            <w:r>
              <w:rPr>
                <w:color w:val="auto"/>
                <w:spacing w:val="0"/>
                <w:w w:val="100"/>
                <w:position w:val="0"/>
                <w:sz w:val="22"/>
                <w:szCs w:val="22"/>
              </w:rPr>
              <w:t>专业建设 指导小组与 专业建设规 划（</w:t>
            </w:r>
            <w:r>
              <w:rPr>
                <w:rFonts w:ascii="Times New Roman" w:hAnsi="Times New Roman" w:eastAsia="Times New Roman" w:cs="Times New Roman"/>
                <w:b/>
                <w:bCs/>
                <w:color w:val="auto"/>
                <w:spacing w:val="0"/>
                <w:w w:val="100"/>
                <w:position w:val="0"/>
                <w:sz w:val="24"/>
                <w:szCs w:val="24"/>
              </w:rPr>
              <w:t>3</w:t>
            </w:r>
            <w:r>
              <w:rPr>
                <w:color w:val="auto"/>
                <w:spacing w:val="0"/>
                <w:w w:val="100"/>
                <w:position w:val="0"/>
                <w:sz w:val="22"/>
                <w:szCs w:val="22"/>
              </w:rPr>
              <w:t>分）</w:t>
            </w:r>
          </w:p>
        </w:tc>
        <w:tc>
          <w:tcPr>
            <w:tcW w:w="6234"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64" w:lineRule="exact"/>
              <w:ind w:leftChars="0" w:right="0" w:rightChars="0"/>
              <w:jc w:val="both"/>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成立了专业建设指导委员会，并开展了活动，指导作用显著；</w:t>
            </w:r>
          </w:p>
          <w:p>
            <w:pPr>
              <w:pStyle w:val="19"/>
              <w:keepNext w:val="0"/>
              <w:keepLines w:val="0"/>
              <w:widowControl w:val="0"/>
              <w:numPr>
                <w:ilvl w:val="0"/>
                <w:numId w:val="0"/>
              </w:numPr>
              <w:shd w:val="clear" w:color="auto" w:fill="auto"/>
              <w:tabs>
                <w:tab w:val="left" w:pos="204"/>
              </w:tabs>
              <w:bidi w:val="0"/>
              <w:spacing w:before="0" w:after="0" w:line="264" w:lineRule="exact"/>
              <w:ind w:leftChars="0" w:right="0" w:rightChars="0"/>
              <w:jc w:val="both"/>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制定了专业建设规划和工作计划；可实施性强，执行效果好；</w:t>
            </w:r>
          </w:p>
          <w:p>
            <w:pPr>
              <w:pStyle w:val="19"/>
              <w:keepNext w:val="0"/>
              <w:keepLines w:val="0"/>
              <w:widowControl w:val="0"/>
              <w:numPr>
                <w:ilvl w:val="0"/>
                <w:numId w:val="0"/>
              </w:numPr>
              <w:shd w:val="clear" w:color="auto" w:fill="auto"/>
              <w:tabs>
                <w:tab w:val="left" w:pos="204"/>
              </w:tabs>
              <w:bidi w:val="0"/>
              <w:spacing w:before="0" w:after="0" w:line="264" w:lineRule="exact"/>
              <w:ind w:leftChars="0" w:right="0" w:rightChars="0"/>
              <w:jc w:val="both"/>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成立了行业企业专家参与的专业建设小组，并积极开展工作；</w:t>
            </w:r>
          </w:p>
          <w:p>
            <w:pPr>
              <w:pStyle w:val="19"/>
              <w:keepNext w:val="0"/>
              <w:keepLines w:val="0"/>
              <w:widowControl w:val="0"/>
              <w:numPr>
                <w:ilvl w:val="0"/>
                <w:numId w:val="0"/>
              </w:numPr>
              <w:shd w:val="clear" w:color="auto" w:fill="auto"/>
              <w:tabs>
                <w:tab w:val="left" w:pos="216"/>
              </w:tabs>
              <w:bidi w:val="0"/>
              <w:spacing w:before="0" w:after="0" w:line="264" w:lineRule="exact"/>
              <w:ind w:leftChars="0" w:right="0" w:rightChars="0"/>
              <w:jc w:val="both"/>
              <w:rPr>
                <w:color w:val="auto"/>
                <w:sz w:val="22"/>
                <w:szCs w:val="22"/>
              </w:rPr>
            </w:pPr>
            <w:r>
              <w:rPr>
                <w:rFonts w:hint="eastAsia"/>
                <w:color w:val="auto"/>
                <w:spacing w:val="0"/>
                <w:w w:val="100"/>
                <w:position w:val="0"/>
                <w:sz w:val="22"/>
                <w:szCs w:val="22"/>
                <w:lang w:val="en-US" w:eastAsia="zh-CN"/>
              </w:rPr>
              <w:t>④</w:t>
            </w:r>
            <w:r>
              <w:rPr>
                <w:color w:val="auto"/>
                <w:spacing w:val="0"/>
                <w:w w:val="100"/>
                <w:position w:val="0"/>
                <w:sz w:val="22"/>
                <w:szCs w:val="22"/>
              </w:rPr>
              <w:t>专业建设小组积极参与人才培养方案的制订，并参与专业建设 的全过程。</w:t>
            </w:r>
          </w:p>
        </w:tc>
        <w:tc>
          <w:tcPr>
            <w:tcW w:w="2406" w:type="dxa"/>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76"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查文件、资料、会议记录；</w:t>
            </w:r>
          </w:p>
          <w:p>
            <w:pPr>
              <w:pStyle w:val="19"/>
              <w:keepNext w:val="0"/>
              <w:keepLines w:val="0"/>
              <w:widowControl w:val="0"/>
              <w:numPr>
                <w:ilvl w:val="0"/>
                <w:numId w:val="0"/>
              </w:numPr>
              <w:shd w:val="clear" w:color="auto" w:fill="auto"/>
              <w:tabs>
                <w:tab w:val="left" w:pos="216"/>
              </w:tabs>
              <w:bidi w:val="0"/>
              <w:spacing w:before="0" w:after="0" w:line="276"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查规划和计划，对照实施情 况。</w:t>
            </w:r>
          </w:p>
        </w:tc>
      </w:tr>
      <w:tr>
        <w:tblPrEx>
          <w:tblCellMar>
            <w:top w:w="0" w:type="dxa"/>
            <w:left w:w="10" w:type="dxa"/>
            <w:bottom w:w="0" w:type="dxa"/>
            <w:right w:w="10" w:type="dxa"/>
          </w:tblCellMar>
        </w:tblPrEx>
        <w:trPr>
          <w:trHeight w:val="852" w:hRule="exact"/>
          <w:jc w:val="center"/>
        </w:trPr>
        <w:tc>
          <w:tcPr>
            <w:vMerge w:val="continue"/>
            <w:tcBorders>
              <w:left w:val="single" w:color="auto" w:sz="4" w:space="0"/>
            </w:tcBorders>
            <w:shd w:val="clear" w:color="auto" w:fill="FFFFFF"/>
            <w:vAlign w:val="bottom"/>
          </w:tcPr>
          <w:p>
            <w:pPr>
              <w:rPr>
                <w:color w:val="auto"/>
                <w:sz w:val="21"/>
                <w:szCs w:val="21"/>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rPr>
                <w:color w:val="auto"/>
                <w:sz w:val="22"/>
                <w:szCs w:val="22"/>
              </w:rPr>
            </w:pPr>
            <w:r>
              <w:rPr>
                <w:rFonts w:ascii="Times New Roman" w:hAnsi="Times New Roman" w:eastAsia="Times New Roman" w:cs="Times New Roman"/>
                <w:b/>
                <w:bCs/>
                <w:color w:val="auto"/>
                <w:spacing w:val="0"/>
                <w:w w:val="100"/>
                <w:position w:val="0"/>
                <w:sz w:val="24"/>
                <w:szCs w:val="24"/>
                <w:lang w:val="en-US" w:eastAsia="en-US" w:bidi="en-US"/>
              </w:rPr>
              <w:t>1-2</w:t>
            </w:r>
            <w:r>
              <w:rPr>
                <w:color w:val="auto"/>
                <w:spacing w:val="0"/>
                <w:w w:val="100"/>
                <w:position w:val="0"/>
                <w:sz w:val="22"/>
                <w:szCs w:val="22"/>
              </w:rPr>
              <w:t>系部管理</w:t>
            </w:r>
          </w:p>
          <w:p>
            <w:pPr>
              <w:pStyle w:val="19"/>
              <w:keepNext w:val="0"/>
              <w:keepLines w:val="0"/>
              <w:widowControl w:val="0"/>
              <w:shd w:val="clear" w:color="auto" w:fill="auto"/>
              <w:bidi w:val="0"/>
              <w:spacing w:before="0" w:after="0" w:line="240" w:lineRule="auto"/>
              <w:ind w:left="0" w:leftChars="0" w:right="0" w:firstLine="0" w:firstLineChars="0"/>
              <w:jc w:val="both"/>
              <w:rPr>
                <w:color w:val="auto"/>
                <w:sz w:val="22"/>
                <w:szCs w:val="22"/>
              </w:rPr>
            </w:pPr>
            <w:r>
              <w:rPr>
                <w:rFonts w:ascii="Times New Roman" w:hAnsi="Times New Roman" w:eastAsia="Times New Roman" w:cs="Times New Roman"/>
                <w:b/>
                <w:bCs/>
                <w:color w:val="auto"/>
                <w:spacing w:val="0"/>
                <w:w w:val="100"/>
                <w:position w:val="0"/>
                <w:sz w:val="24"/>
                <w:szCs w:val="24"/>
              </w:rPr>
              <w:t>（2</w:t>
            </w:r>
            <w:r>
              <w:rPr>
                <w:color w:val="auto"/>
                <w:spacing w:val="0"/>
                <w:w w:val="100"/>
                <w:position w:val="0"/>
                <w:sz w:val="22"/>
                <w:szCs w:val="22"/>
              </w:rPr>
              <w:t>分）</w:t>
            </w:r>
          </w:p>
        </w:tc>
        <w:tc>
          <w:tcPr>
            <w:tcW w:w="6234"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both"/>
              <w:rPr>
                <w:color w:val="auto"/>
                <w:sz w:val="22"/>
                <w:szCs w:val="22"/>
              </w:rPr>
            </w:pPr>
            <w:r>
              <w:rPr>
                <w:color w:val="auto"/>
                <w:spacing w:val="0"/>
                <w:w w:val="100"/>
                <w:position w:val="0"/>
                <w:sz w:val="22"/>
                <w:szCs w:val="22"/>
              </w:rPr>
              <w:t>系部重视专业建设，有计划、有安排、有督促、有检查。</w:t>
            </w:r>
          </w:p>
        </w:tc>
        <w:tc>
          <w:tcPr>
            <w:tcW w:w="2406" w:type="dxa"/>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查文件、资料、会议记录；</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查计划；</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查整改记录。</w:t>
            </w:r>
          </w:p>
        </w:tc>
      </w:tr>
      <w:tr>
        <w:tblPrEx>
          <w:tblCellMar>
            <w:top w:w="0" w:type="dxa"/>
            <w:left w:w="10" w:type="dxa"/>
            <w:bottom w:w="0" w:type="dxa"/>
            <w:right w:w="10" w:type="dxa"/>
          </w:tblCellMar>
        </w:tblPrEx>
        <w:trPr>
          <w:trHeight w:val="1596" w:hRule="exact"/>
          <w:jc w:val="center"/>
        </w:trPr>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84" w:lineRule="exact"/>
              <w:ind w:left="0" w:right="0" w:firstLine="0"/>
              <w:jc w:val="left"/>
              <w:rPr>
                <w:rFonts w:hint="eastAsia" w:eastAsia="宋体"/>
                <w:color w:val="auto"/>
                <w:sz w:val="22"/>
                <w:szCs w:val="22"/>
                <w:lang w:val="en-US" w:eastAsia="zh-CN"/>
              </w:rPr>
            </w:pPr>
            <w:r>
              <w:rPr>
                <w:rFonts w:hint="eastAsia"/>
                <w:color w:val="auto"/>
                <w:sz w:val="22"/>
                <w:szCs w:val="22"/>
                <w:lang w:val="en-US" w:eastAsia="zh-CN"/>
              </w:rPr>
              <w:t>二、</w:t>
            </w:r>
          </w:p>
          <w:p>
            <w:pPr>
              <w:pStyle w:val="19"/>
              <w:keepNext w:val="0"/>
              <w:keepLines w:val="0"/>
              <w:widowControl w:val="0"/>
              <w:shd w:val="clear" w:color="auto" w:fill="auto"/>
              <w:bidi w:val="0"/>
              <w:spacing w:before="0" w:after="0" w:line="284" w:lineRule="exact"/>
              <w:ind w:left="0" w:right="0" w:firstLine="0"/>
              <w:jc w:val="left"/>
              <w:rPr>
                <w:color w:val="auto"/>
                <w:sz w:val="22"/>
                <w:szCs w:val="22"/>
              </w:rPr>
            </w:pPr>
            <w:r>
              <w:rPr>
                <w:color w:val="auto"/>
                <w:spacing w:val="0"/>
                <w:w w:val="100"/>
                <w:position w:val="0"/>
                <w:sz w:val="22"/>
                <w:szCs w:val="22"/>
              </w:rPr>
              <w:t>专业 人才 培养 方案</w:t>
            </w:r>
            <w:r>
              <w:rPr>
                <w:rFonts w:ascii="Times New Roman" w:hAnsi="Times New Roman" w:eastAsia="Times New Roman" w:cs="Times New Roman"/>
                <w:b/>
                <w:bCs/>
                <w:color w:val="auto"/>
                <w:spacing w:val="0"/>
                <w:w w:val="100"/>
                <w:position w:val="0"/>
                <w:sz w:val="24"/>
                <w:szCs w:val="24"/>
              </w:rPr>
              <w:t xml:space="preserve">（35 </w:t>
            </w:r>
            <w:r>
              <w:rPr>
                <w:color w:val="auto"/>
                <w:spacing w:val="0"/>
                <w:w w:val="100"/>
                <w:position w:val="0"/>
                <w:sz w:val="22"/>
                <w:szCs w:val="22"/>
              </w:rPr>
              <w:t>分）</w:t>
            </w:r>
          </w:p>
          <w:p>
            <w:pPr>
              <w:pStyle w:val="19"/>
              <w:keepNext w:val="0"/>
              <w:keepLines w:val="0"/>
              <w:widowControl w:val="0"/>
              <w:shd w:val="clear" w:color="auto" w:fill="auto"/>
              <w:bidi w:val="0"/>
              <w:spacing w:before="0" w:after="0" w:line="300" w:lineRule="exact"/>
              <w:ind w:left="0" w:right="0" w:firstLine="180"/>
              <w:jc w:val="left"/>
              <w:rPr>
                <w:color w:val="auto"/>
                <w:sz w:val="22"/>
                <w:szCs w:val="22"/>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0" w:lineRule="exact"/>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4"/>
                <w:szCs w:val="24"/>
                <w:lang w:val="en-US" w:eastAsia="en-US" w:bidi="en-US"/>
              </w:rPr>
              <w:t>2-1</w:t>
            </w:r>
            <w:r>
              <w:rPr>
                <w:color w:val="auto"/>
                <w:spacing w:val="0"/>
                <w:w w:val="100"/>
                <w:position w:val="0"/>
                <w:sz w:val="22"/>
                <w:szCs w:val="22"/>
              </w:rPr>
              <w:t>专业人才 培养方案制 订（</w:t>
            </w:r>
            <w:r>
              <w:rPr>
                <w:rFonts w:ascii="Times New Roman" w:hAnsi="Times New Roman" w:eastAsia="Times New Roman" w:cs="Times New Roman"/>
                <w:b/>
                <w:bCs/>
                <w:color w:val="auto"/>
                <w:spacing w:val="0"/>
                <w:w w:val="100"/>
                <w:position w:val="0"/>
                <w:sz w:val="24"/>
                <w:szCs w:val="24"/>
              </w:rPr>
              <w:t>3</w:t>
            </w:r>
            <w:r>
              <w:rPr>
                <w:color w:val="auto"/>
                <w:spacing w:val="0"/>
                <w:w w:val="100"/>
                <w:position w:val="0"/>
                <w:sz w:val="22"/>
                <w:szCs w:val="22"/>
              </w:rPr>
              <w:t>分）</w:t>
            </w:r>
          </w:p>
        </w:tc>
        <w:tc>
          <w:tcPr>
            <w:tcW w:w="6234"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both"/>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专业人才培养方案制订有充分的调研与论证，专业培养方案规 范科学，相对稳定，并具前瞻性；</w:t>
            </w:r>
          </w:p>
          <w:p>
            <w:pPr>
              <w:pStyle w:val="19"/>
              <w:keepNext w:val="0"/>
              <w:keepLines w:val="0"/>
              <w:widowControl w:val="0"/>
              <w:numPr>
                <w:ilvl w:val="0"/>
                <w:numId w:val="0"/>
              </w:numPr>
              <w:shd w:val="clear" w:color="auto" w:fill="auto"/>
              <w:tabs>
                <w:tab w:val="left" w:pos="228"/>
              </w:tabs>
              <w:bidi w:val="0"/>
              <w:spacing w:before="0" w:after="0" w:line="288" w:lineRule="exact"/>
              <w:ind w:leftChars="0" w:right="0" w:rightChars="0"/>
              <w:jc w:val="both"/>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以应用能力为主体设计专业培养方案，并形成了专业特色；</w:t>
            </w:r>
          </w:p>
          <w:p>
            <w:pPr>
              <w:pStyle w:val="19"/>
              <w:keepNext w:val="0"/>
              <w:keepLines w:val="0"/>
              <w:widowControl w:val="0"/>
              <w:numPr>
                <w:ilvl w:val="0"/>
                <w:numId w:val="0"/>
              </w:numPr>
              <w:shd w:val="clear" w:color="auto" w:fill="auto"/>
              <w:tabs>
                <w:tab w:val="left" w:pos="216"/>
              </w:tabs>
              <w:bidi w:val="0"/>
              <w:spacing w:before="0" w:after="0" w:line="288" w:lineRule="exact"/>
              <w:ind w:leftChars="0" w:right="0" w:rightChars="0"/>
              <w:jc w:val="both"/>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能够及时主动对技术和产业结构的调整做出反应；</w:t>
            </w:r>
          </w:p>
          <w:p>
            <w:pPr>
              <w:pStyle w:val="19"/>
              <w:keepNext w:val="0"/>
              <w:keepLines w:val="0"/>
              <w:widowControl w:val="0"/>
              <w:numPr>
                <w:ilvl w:val="0"/>
                <w:numId w:val="0"/>
              </w:numPr>
              <w:shd w:val="clear" w:color="auto" w:fill="auto"/>
              <w:tabs>
                <w:tab w:val="left" w:pos="216"/>
              </w:tabs>
              <w:bidi w:val="0"/>
              <w:spacing w:before="0" w:after="0" w:line="288" w:lineRule="exact"/>
              <w:ind w:leftChars="0" w:right="0" w:rightChars="0"/>
              <w:jc w:val="both"/>
              <w:rPr>
                <w:color w:val="auto"/>
                <w:sz w:val="22"/>
                <w:szCs w:val="22"/>
              </w:rPr>
            </w:pPr>
            <w:r>
              <w:rPr>
                <w:rFonts w:hint="eastAsia"/>
                <w:color w:val="auto"/>
                <w:spacing w:val="0"/>
                <w:w w:val="100"/>
                <w:position w:val="0"/>
                <w:sz w:val="22"/>
                <w:szCs w:val="22"/>
                <w:lang w:val="en-US" w:eastAsia="zh-CN"/>
              </w:rPr>
              <w:t>④</w:t>
            </w:r>
            <w:r>
              <w:rPr>
                <w:color w:val="auto"/>
                <w:spacing w:val="0"/>
                <w:w w:val="100"/>
                <w:position w:val="0"/>
                <w:sz w:val="22"/>
                <w:szCs w:val="22"/>
              </w:rPr>
              <w:t>专业人才培养方案制定过程严密，支撑资料充分。</w:t>
            </w:r>
          </w:p>
        </w:tc>
        <w:tc>
          <w:tcPr>
            <w:tcW w:w="2406" w:type="dxa"/>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16"/>
              </w:tabs>
              <w:bidi w:val="0"/>
              <w:spacing w:before="0" w:after="0" w:line="282"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查专业建设指导委员会相关 活动记录；</w:t>
            </w:r>
          </w:p>
          <w:p>
            <w:pPr>
              <w:pStyle w:val="19"/>
              <w:keepNext w:val="0"/>
              <w:keepLines w:val="0"/>
              <w:widowControl w:val="0"/>
              <w:numPr>
                <w:ilvl w:val="0"/>
                <w:numId w:val="0"/>
              </w:numPr>
              <w:shd w:val="clear" w:color="auto" w:fill="auto"/>
              <w:tabs>
                <w:tab w:val="left" w:pos="204"/>
              </w:tabs>
              <w:bidi w:val="0"/>
              <w:spacing w:before="0" w:after="0" w:line="282"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查专业方案调研论证报告；</w:t>
            </w:r>
          </w:p>
          <w:p>
            <w:pPr>
              <w:pStyle w:val="19"/>
              <w:keepNext w:val="0"/>
              <w:keepLines w:val="0"/>
              <w:widowControl w:val="0"/>
              <w:numPr>
                <w:ilvl w:val="0"/>
                <w:numId w:val="0"/>
              </w:numPr>
              <w:shd w:val="clear" w:color="auto" w:fill="auto"/>
              <w:tabs>
                <w:tab w:val="left" w:pos="216"/>
              </w:tabs>
              <w:bidi w:val="0"/>
              <w:spacing w:before="0" w:after="0" w:line="282" w:lineRule="exact"/>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查专业人才培养方案以及制 定过程、支撑材料。</w:t>
            </w:r>
          </w:p>
        </w:tc>
      </w:tr>
      <w:tr>
        <w:tblPrEx>
          <w:tblCellMar>
            <w:top w:w="0" w:type="dxa"/>
            <w:left w:w="10" w:type="dxa"/>
            <w:bottom w:w="0" w:type="dxa"/>
            <w:right w:w="10" w:type="dxa"/>
          </w:tblCellMar>
        </w:tblPrEx>
        <w:trPr>
          <w:trHeight w:val="1980" w:hRule="exact"/>
          <w:jc w:val="center"/>
        </w:trPr>
        <w:tc>
          <w:tcPr>
            <w:vMerge w:val="continue"/>
            <w:tcBorders>
              <w:left w:val="single" w:color="auto" w:sz="4" w:space="0"/>
              <w:bottom w:val="single" w:color="auto" w:sz="4" w:space="0"/>
            </w:tcBorders>
            <w:shd w:val="clear" w:color="auto" w:fill="FFFFFF"/>
            <w:vAlign w:val="center"/>
          </w:tcPr>
          <w:p>
            <w:pPr>
              <w:rPr>
                <w:color w:val="auto"/>
                <w:sz w:val="21"/>
                <w:szCs w:val="21"/>
              </w:rPr>
            </w:pP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300" w:lineRule="exact"/>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4"/>
                <w:szCs w:val="24"/>
              </w:rPr>
              <w:t>2-2</w:t>
            </w:r>
            <w:r>
              <w:rPr>
                <w:color w:val="auto"/>
                <w:spacing w:val="0"/>
                <w:w w:val="100"/>
                <w:position w:val="0"/>
                <w:sz w:val="22"/>
                <w:szCs w:val="22"/>
              </w:rPr>
              <w:t>专业人才 培养目标</w:t>
            </w:r>
            <w:r>
              <w:rPr>
                <w:b/>
                <w:bCs/>
                <w:color w:val="auto"/>
                <w:spacing w:val="0"/>
                <w:w w:val="100"/>
                <w:position w:val="0"/>
                <w:sz w:val="24"/>
                <w:szCs w:val="24"/>
              </w:rPr>
              <w:t>（</w:t>
            </w:r>
            <w:r>
              <w:rPr>
                <w:rFonts w:ascii="Times New Roman" w:hAnsi="Times New Roman" w:eastAsia="Times New Roman" w:cs="Times New Roman"/>
                <w:b/>
                <w:bCs/>
                <w:color w:val="auto"/>
                <w:spacing w:val="0"/>
                <w:w w:val="100"/>
                <w:position w:val="0"/>
                <w:sz w:val="24"/>
                <w:szCs w:val="24"/>
              </w:rPr>
              <w:t>4</w:t>
            </w:r>
            <w:r>
              <w:rPr>
                <w:color w:val="auto"/>
                <w:spacing w:val="0"/>
                <w:w w:val="100"/>
                <w:position w:val="0"/>
                <w:sz w:val="22"/>
                <w:szCs w:val="22"/>
              </w:rPr>
              <w:t>分）</w:t>
            </w:r>
          </w:p>
        </w:tc>
        <w:tc>
          <w:tcPr>
            <w:tcW w:w="6234" w:type="dxa"/>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204"/>
              </w:tabs>
              <w:bidi w:val="0"/>
              <w:spacing w:before="0" w:after="0" w:line="276" w:lineRule="exact"/>
              <w:ind w:leftChars="0" w:right="0" w:rightChars="0"/>
              <w:jc w:val="both"/>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培养目标以育人为本，强化职业道德，职业岗位（岗位群）清 晰，岗位和企业实际岗位相一致；定位准确；</w:t>
            </w:r>
          </w:p>
          <w:p>
            <w:pPr>
              <w:pStyle w:val="19"/>
              <w:keepNext w:val="0"/>
              <w:keepLines w:val="0"/>
              <w:widowControl w:val="0"/>
              <w:numPr>
                <w:ilvl w:val="0"/>
                <w:numId w:val="0"/>
              </w:numPr>
              <w:shd w:val="clear" w:color="auto" w:fill="auto"/>
              <w:tabs>
                <w:tab w:val="left" w:pos="204"/>
              </w:tabs>
              <w:bidi w:val="0"/>
              <w:spacing w:before="0" w:after="0" w:line="282" w:lineRule="exact"/>
              <w:ind w:leftChars="0" w:right="0" w:rightChars="0"/>
              <w:jc w:val="both"/>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有广泛的人才市场调查论证和岗位工作任务归纳分析；</w:t>
            </w:r>
          </w:p>
          <w:p>
            <w:pPr>
              <w:pStyle w:val="19"/>
              <w:keepNext w:val="0"/>
              <w:keepLines w:val="0"/>
              <w:widowControl w:val="0"/>
              <w:numPr>
                <w:ilvl w:val="0"/>
                <w:numId w:val="0"/>
              </w:numPr>
              <w:shd w:val="clear" w:color="auto" w:fill="auto"/>
              <w:tabs>
                <w:tab w:val="left" w:pos="228"/>
              </w:tabs>
              <w:bidi w:val="0"/>
              <w:spacing w:before="0" w:after="0" w:line="282" w:lineRule="exact"/>
              <w:ind w:leftChars="0" w:right="0" w:rightChars="0"/>
              <w:jc w:val="both"/>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专业人才培养目标对应岗位（群）知识、技能、态度标准的分析准确，有系统的分析资料；</w:t>
            </w:r>
          </w:p>
          <w:p>
            <w:pPr>
              <w:pStyle w:val="19"/>
              <w:keepNext w:val="0"/>
              <w:keepLines w:val="0"/>
              <w:widowControl w:val="0"/>
              <w:numPr>
                <w:ilvl w:val="0"/>
                <w:numId w:val="0"/>
              </w:numPr>
              <w:shd w:val="clear" w:color="auto" w:fill="auto"/>
              <w:tabs>
                <w:tab w:val="left" w:pos="216"/>
              </w:tabs>
              <w:bidi w:val="0"/>
              <w:spacing w:before="0" w:after="0" w:line="282" w:lineRule="exact"/>
              <w:ind w:leftChars="0" w:right="0" w:rightChars="0"/>
              <w:jc w:val="both"/>
              <w:rPr>
                <w:color w:val="auto"/>
                <w:sz w:val="22"/>
                <w:szCs w:val="22"/>
              </w:rPr>
            </w:pPr>
            <w:r>
              <w:rPr>
                <w:rFonts w:hint="eastAsia"/>
                <w:color w:val="auto"/>
                <w:spacing w:val="0"/>
                <w:w w:val="100"/>
                <w:position w:val="0"/>
                <w:sz w:val="22"/>
                <w:szCs w:val="22"/>
                <w:lang w:val="en-US" w:eastAsia="zh-CN"/>
              </w:rPr>
              <w:t>④</w:t>
            </w:r>
            <w:r>
              <w:rPr>
                <w:color w:val="auto"/>
                <w:spacing w:val="0"/>
                <w:w w:val="100"/>
                <w:position w:val="0"/>
                <w:sz w:val="22"/>
                <w:szCs w:val="22"/>
              </w:rPr>
              <w:t>人才培养规格标准清晰明确，知识、技能、态度要求与目标岗位（岗位群）一致，具有较强的可操作性。</w:t>
            </w:r>
          </w:p>
        </w:tc>
        <w:tc>
          <w:tcPr>
            <w:tcW w:w="2406" w:type="dxa"/>
            <w:tcBorders>
              <w:top w:val="single" w:color="auto" w:sz="4" w:space="0"/>
              <w:left w:val="single" w:color="auto" w:sz="4" w:space="0"/>
              <w:bottom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bottom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16"/>
              </w:tabs>
              <w:bidi w:val="0"/>
              <w:spacing w:before="0" w:after="0" w:line="276"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查目标岗位及企业实际岗位 一致性；</w:t>
            </w:r>
          </w:p>
          <w:p>
            <w:pPr>
              <w:pStyle w:val="19"/>
              <w:keepNext w:val="0"/>
              <w:keepLines w:val="0"/>
              <w:widowControl w:val="0"/>
              <w:numPr>
                <w:ilvl w:val="0"/>
                <w:numId w:val="0"/>
              </w:numPr>
              <w:shd w:val="clear" w:color="auto" w:fill="auto"/>
              <w:tabs>
                <w:tab w:val="left" w:pos="204"/>
              </w:tabs>
              <w:bidi w:val="0"/>
              <w:spacing w:before="0" w:after="0" w:line="276"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查调研、分析、论证报告；</w:t>
            </w:r>
          </w:p>
          <w:p>
            <w:pPr>
              <w:pStyle w:val="19"/>
              <w:keepNext w:val="0"/>
              <w:keepLines w:val="0"/>
              <w:widowControl w:val="0"/>
              <w:numPr>
                <w:ilvl w:val="0"/>
                <w:numId w:val="0"/>
              </w:numPr>
              <w:shd w:val="clear" w:color="auto" w:fill="auto"/>
              <w:tabs>
                <w:tab w:val="left" w:pos="204"/>
              </w:tabs>
              <w:bidi w:val="0"/>
              <w:spacing w:before="0" w:after="0" w:line="276" w:lineRule="exact"/>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查专业人才培养方案。</w:t>
            </w:r>
          </w:p>
        </w:tc>
      </w:tr>
    </w:tbl>
    <w:p>
      <w:pPr>
        <w:spacing w:line="1" w:lineRule="exact"/>
        <w:rPr>
          <w:color w:val="auto"/>
          <w:sz w:val="2"/>
          <w:szCs w:val="2"/>
        </w:rPr>
      </w:pPr>
      <w:r>
        <w:rPr>
          <w:color w:val="auto"/>
        </w:rPr>
        <w:br w:type="page"/>
      </w:r>
    </w:p>
    <w:tbl>
      <w:tblPr>
        <w:tblStyle w:val="5"/>
        <w:tblW w:w="0" w:type="auto"/>
        <w:jc w:val="center"/>
        <w:tblLayout w:type="fixed"/>
        <w:tblCellMar>
          <w:top w:w="0" w:type="dxa"/>
          <w:left w:w="10" w:type="dxa"/>
          <w:bottom w:w="0" w:type="dxa"/>
          <w:right w:w="10" w:type="dxa"/>
        </w:tblCellMar>
      </w:tblPr>
      <w:tblGrid>
        <w:gridCol w:w="696"/>
        <w:gridCol w:w="1392"/>
        <w:gridCol w:w="6120"/>
        <w:gridCol w:w="2520"/>
        <w:gridCol w:w="720"/>
        <w:gridCol w:w="3108"/>
      </w:tblGrid>
      <w:tr>
        <w:tblPrEx>
          <w:tblCellMar>
            <w:top w:w="0" w:type="dxa"/>
            <w:left w:w="10" w:type="dxa"/>
            <w:bottom w:w="0" w:type="dxa"/>
            <w:right w:w="10" w:type="dxa"/>
          </w:tblCellMar>
        </w:tblPrEx>
        <w:trPr>
          <w:trHeight w:val="408" w:hRule="exact"/>
          <w:jc w:val="center"/>
        </w:trPr>
        <w:tc>
          <w:tcPr>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评审指标</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评分标准要求</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依据</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得分</w:t>
            </w:r>
          </w:p>
        </w:tc>
        <w:tc>
          <w:tcPr>
            <w:vMerge w:val="restart"/>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考察方式</w:t>
            </w:r>
          </w:p>
        </w:tc>
      </w:tr>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88" w:lineRule="exact"/>
              <w:ind w:left="0" w:right="0" w:firstLine="0"/>
              <w:jc w:val="center"/>
              <w:rPr>
                <w:color w:val="auto"/>
                <w:sz w:val="22"/>
                <w:szCs w:val="22"/>
              </w:rPr>
            </w:pPr>
            <w:r>
              <w:rPr>
                <w:color w:val="auto"/>
                <w:spacing w:val="0"/>
                <w:w w:val="100"/>
                <w:position w:val="0"/>
                <w:sz w:val="22"/>
                <w:szCs w:val="22"/>
              </w:rPr>
              <w:t>一级 指标</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二级指标</w:t>
            </w:r>
          </w:p>
        </w:tc>
        <w:tc>
          <w:tcPr>
            <w:vMerge w:val="continue"/>
            <w:tcBorders>
              <w:left w:val="single" w:color="auto" w:sz="4" w:space="0"/>
            </w:tcBorders>
            <w:shd w:val="clear" w:color="auto" w:fill="FFFFFF"/>
            <w:vAlign w:val="center"/>
          </w:tcPr>
          <w:p>
            <w:pPr>
              <w:rPr>
                <w:color w:val="auto"/>
                <w:sz w:val="21"/>
                <w:szCs w:val="21"/>
              </w:rPr>
            </w:pPr>
          </w:p>
        </w:tc>
        <w:tc>
          <w:tcPr>
            <w:vMerge w:val="continue"/>
            <w:tcBorders>
              <w:left w:val="single" w:color="auto" w:sz="4" w:space="0"/>
            </w:tcBorders>
            <w:shd w:val="clear" w:color="auto" w:fill="FFFFFF"/>
            <w:vAlign w:val="center"/>
          </w:tcPr>
          <w:p>
            <w:pPr>
              <w:rPr>
                <w:color w:val="auto"/>
                <w:sz w:val="21"/>
                <w:szCs w:val="21"/>
              </w:rPr>
            </w:pPr>
          </w:p>
        </w:tc>
        <w:tc>
          <w:tcPr>
            <w:vMerge w:val="continue"/>
            <w:tcBorders>
              <w:left w:val="single" w:color="auto" w:sz="4" w:space="0"/>
            </w:tcBorders>
            <w:shd w:val="clear" w:color="auto" w:fill="FFFFFF"/>
            <w:vAlign w:val="center"/>
          </w:tcPr>
          <w:p>
            <w:pPr>
              <w:rPr>
                <w:color w:val="auto"/>
                <w:sz w:val="21"/>
                <w:szCs w:val="21"/>
              </w:rPr>
            </w:pPr>
          </w:p>
        </w:tc>
        <w:tc>
          <w:tcPr>
            <w:vMerge w:val="continue"/>
            <w:tcBorders>
              <w:left w:val="single" w:color="auto" w:sz="4" w:space="0"/>
              <w:right w:val="single" w:color="auto" w:sz="4" w:space="0"/>
            </w:tcBorders>
            <w:shd w:val="clear" w:color="auto" w:fill="FFFFFF"/>
            <w:vAlign w:val="center"/>
          </w:tcPr>
          <w:p>
            <w:pPr>
              <w:rPr>
                <w:color w:val="auto"/>
                <w:sz w:val="21"/>
                <w:szCs w:val="21"/>
              </w:rPr>
            </w:pPr>
          </w:p>
        </w:tc>
      </w:tr>
      <w:tr>
        <w:tblPrEx>
          <w:tblCellMar>
            <w:top w:w="0" w:type="dxa"/>
            <w:left w:w="10" w:type="dxa"/>
            <w:bottom w:w="0" w:type="dxa"/>
            <w:right w:w="10" w:type="dxa"/>
          </w:tblCellMar>
        </w:tblPrEx>
        <w:trPr>
          <w:trHeight w:val="3648" w:hRule="exact"/>
          <w:jc w:val="center"/>
        </w:trPr>
        <w:tc>
          <w:tcPr>
            <w:vMerge w:val="restart"/>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both"/>
              <w:rPr>
                <w:color w:val="auto"/>
                <w:sz w:val="22"/>
                <w:szCs w:val="22"/>
              </w:rPr>
            </w:pPr>
            <w:r>
              <w:rPr>
                <w:rFonts w:ascii="Times New Roman" w:hAnsi="Times New Roman" w:eastAsia="Times New Roman" w:cs="Times New Roman"/>
                <w:b/>
                <w:bCs/>
                <w:color w:val="auto"/>
                <w:spacing w:val="0"/>
                <w:w w:val="100"/>
                <w:position w:val="0"/>
                <w:sz w:val="24"/>
                <w:szCs w:val="24"/>
              </w:rPr>
              <w:t>2-3</w:t>
            </w:r>
            <w:r>
              <w:rPr>
                <w:color w:val="auto"/>
                <w:spacing w:val="0"/>
                <w:w w:val="100"/>
                <w:position w:val="0"/>
                <w:sz w:val="22"/>
                <w:szCs w:val="22"/>
              </w:rPr>
              <w:t>专业课程 体系</w:t>
            </w:r>
            <w:r>
              <w:rPr>
                <w:rFonts w:ascii="Times New Roman" w:hAnsi="Times New Roman" w:eastAsia="Times New Roman" w:cs="Times New Roman"/>
                <w:b/>
                <w:bCs/>
                <w:color w:val="auto"/>
                <w:spacing w:val="0"/>
                <w:w w:val="100"/>
                <w:position w:val="0"/>
                <w:sz w:val="24"/>
                <w:szCs w:val="24"/>
              </w:rPr>
              <w:t>（6</w:t>
            </w:r>
            <w:r>
              <w:rPr>
                <w:color w:val="auto"/>
                <w:spacing w:val="0"/>
                <w:w w:val="100"/>
                <w:position w:val="0"/>
                <w:sz w:val="22"/>
                <w:szCs w:val="22"/>
              </w:rPr>
              <w:t>分）</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p>
        </w:tc>
        <w:tc>
          <w:tcPr>
            <w:tcBorders>
              <w:top w:val="single" w:color="auto" w:sz="4" w:space="0"/>
              <w:left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204"/>
              </w:tabs>
              <w:bidi w:val="0"/>
              <w:spacing w:before="0" w:after="0" w:line="283" w:lineRule="exact"/>
              <w:ind w:leftChars="0" w:right="0" w:rightChars="0"/>
              <w:jc w:val="both"/>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专业课程设置依据岗位（群）能力标准，在岗位知识、技能、 态度的调研分析基础上，打破了学科体系结构，依据职业岗位对 知识、技能、态度的要求，充分考虑学生的职业生涯需要，选择 教学内容、设置课程；形成以职业能力为核心的课程体系；</w:t>
            </w:r>
          </w:p>
          <w:p>
            <w:pPr>
              <w:pStyle w:val="19"/>
              <w:keepNext w:val="0"/>
              <w:keepLines w:val="0"/>
              <w:widowControl w:val="0"/>
              <w:numPr>
                <w:ilvl w:val="0"/>
                <w:numId w:val="0"/>
              </w:numPr>
              <w:shd w:val="clear" w:color="auto" w:fill="auto"/>
              <w:tabs>
                <w:tab w:val="left" w:pos="204"/>
              </w:tabs>
              <w:bidi w:val="0"/>
              <w:spacing w:before="0" w:after="0" w:line="283" w:lineRule="exact"/>
              <w:ind w:leftChars="0" w:right="0" w:rightChars="0"/>
              <w:jc w:val="both"/>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与行业企业合作进行基于工作过程的系统化课程开发与设计； 形成了理论与实践相融合的课程体系结构；</w:t>
            </w:r>
          </w:p>
          <w:p>
            <w:pPr>
              <w:pStyle w:val="19"/>
              <w:keepNext w:val="0"/>
              <w:keepLines w:val="0"/>
              <w:widowControl w:val="0"/>
              <w:numPr>
                <w:ilvl w:val="0"/>
                <w:numId w:val="0"/>
              </w:numPr>
              <w:shd w:val="clear" w:color="auto" w:fill="auto"/>
              <w:tabs>
                <w:tab w:val="left" w:pos="216"/>
              </w:tabs>
              <w:bidi w:val="0"/>
              <w:spacing w:before="0" w:after="0" w:line="283" w:lineRule="exact"/>
              <w:ind w:leftChars="0" w:right="0" w:rightChars="0"/>
              <w:jc w:val="both"/>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各课程定位、目标、内容符合岗位能力标准，建立了融知识、 技能、态度培养为一体的专业课程与课程体系；</w:t>
            </w:r>
          </w:p>
          <w:p>
            <w:pPr>
              <w:pStyle w:val="19"/>
              <w:keepNext w:val="0"/>
              <w:keepLines w:val="0"/>
              <w:widowControl w:val="0"/>
              <w:numPr>
                <w:ilvl w:val="0"/>
                <w:numId w:val="0"/>
              </w:numPr>
              <w:shd w:val="clear" w:color="auto" w:fill="auto"/>
              <w:tabs>
                <w:tab w:val="left" w:pos="204"/>
              </w:tabs>
              <w:bidi w:val="0"/>
              <w:spacing w:before="0" w:after="0" w:line="283" w:lineRule="exact"/>
              <w:ind w:leftChars="0" w:right="0" w:rightChars="0"/>
              <w:jc w:val="both"/>
              <w:rPr>
                <w:color w:val="auto"/>
                <w:sz w:val="22"/>
                <w:szCs w:val="22"/>
              </w:rPr>
            </w:pPr>
            <w:r>
              <w:rPr>
                <w:rFonts w:hint="eastAsia"/>
                <w:color w:val="auto"/>
                <w:spacing w:val="0"/>
                <w:w w:val="100"/>
                <w:position w:val="0"/>
                <w:sz w:val="22"/>
                <w:szCs w:val="22"/>
                <w:lang w:val="en-US" w:eastAsia="zh-CN"/>
              </w:rPr>
              <w:t>④</w:t>
            </w:r>
            <w:r>
              <w:rPr>
                <w:color w:val="auto"/>
                <w:spacing w:val="0"/>
                <w:w w:val="100"/>
                <w:position w:val="0"/>
                <w:sz w:val="22"/>
                <w:szCs w:val="22"/>
              </w:rPr>
              <w:t>课程的实践教学目标明确，以实际（典型）工作任务为导向， 注重综合运用知识、技能、态度来完成工作任务；</w:t>
            </w:r>
          </w:p>
          <w:p>
            <w:pPr>
              <w:pStyle w:val="19"/>
              <w:keepNext w:val="0"/>
              <w:keepLines w:val="0"/>
              <w:widowControl w:val="0"/>
              <w:numPr>
                <w:ilvl w:val="0"/>
                <w:numId w:val="0"/>
              </w:numPr>
              <w:shd w:val="clear" w:color="auto" w:fill="auto"/>
              <w:tabs>
                <w:tab w:val="left" w:pos="216"/>
              </w:tabs>
              <w:bidi w:val="0"/>
              <w:spacing w:before="0" w:after="0" w:line="283" w:lineRule="exact"/>
              <w:ind w:leftChars="0" w:right="0" w:rightChars="0"/>
              <w:jc w:val="both"/>
              <w:rPr>
                <w:color w:val="auto"/>
                <w:sz w:val="22"/>
                <w:szCs w:val="22"/>
              </w:rPr>
            </w:pPr>
            <w:r>
              <w:rPr>
                <w:rFonts w:hint="eastAsia"/>
                <w:color w:val="auto"/>
                <w:spacing w:val="0"/>
                <w:w w:val="100"/>
                <w:position w:val="0"/>
                <w:sz w:val="22"/>
                <w:szCs w:val="22"/>
                <w:lang w:val="en-US" w:eastAsia="zh-CN"/>
              </w:rPr>
              <w:t>⑤</w:t>
            </w:r>
            <w:r>
              <w:rPr>
                <w:color w:val="auto"/>
                <w:spacing w:val="0"/>
                <w:w w:val="100"/>
                <w:position w:val="0"/>
                <w:sz w:val="22"/>
                <w:szCs w:val="22"/>
              </w:rPr>
              <w:t>课程体系充分考虑学生综合素质培养，适当考虑学生的可持续 发展能力培养；</w:t>
            </w:r>
          </w:p>
          <w:p>
            <w:pPr>
              <w:pStyle w:val="19"/>
              <w:keepNext w:val="0"/>
              <w:keepLines w:val="0"/>
              <w:widowControl w:val="0"/>
              <w:numPr>
                <w:ilvl w:val="0"/>
                <w:numId w:val="0"/>
              </w:numPr>
              <w:shd w:val="clear" w:color="auto" w:fill="auto"/>
              <w:tabs>
                <w:tab w:val="left" w:pos="204"/>
              </w:tabs>
              <w:bidi w:val="0"/>
              <w:spacing w:before="0" w:after="0" w:line="283" w:lineRule="exact"/>
              <w:ind w:leftChars="0" w:right="0" w:rightChars="0"/>
              <w:jc w:val="both"/>
              <w:rPr>
                <w:color w:val="auto"/>
                <w:sz w:val="22"/>
                <w:szCs w:val="22"/>
              </w:rPr>
            </w:pPr>
            <w:r>
              <w:rPr>
                <w:rFonts w:hint="eastAsia"/>
                <w:color w:val="auto"/>
                <w:spacing w:val="0"/>
                <w:w w:val="100"/>
                <w:position w:val="0"/>
                <w:sz w:val="22"/>
                <w:szCs w:val="22"/>
                <w:lang w:val="en-US" w:eastAsia="zh-CN"/>
              </w:rPr>
              <w:t>⑥</w:t>
            </w:r>
            <w:r>
              <w:rPr>
                <w:color w:val="auto"/>
                <w:spacing w:val="0"/>
                <w:w w:val="100"/>
                <w:position w:val="0"/>
                <w:sz w:val="22"/>
                <w:szCs w:val="22"/>
              </w:rPr>
              <w:t>专业核心课程能体现专业核心能力要求。</w:t>
            </w:r>
          </w:p>
        </w:tc>
        <w:tc>
          <w:tcPr>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28"/>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查岗位知识、技能、态度的调 研分析；查课程设置与岗位知 识、技能、态度对照及每门课程 设置依据；</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查专业课程教学大纲；</w:t>
            </w:r>
          </w:p>
          <w:p>
            <w:pPr>
              <w:pStyle w:val="19"/>
              <w:keepNext w:val="0"/>
              <w:keepLines w:val="0"/>
              <w:widowControl w:val="0"/>
              <w:numPr>
                <w:ilvl w:val="0"/>
                <w:numId w:val="0"/>
              </w:numPr>
              <w:shd w:val="clear" w:color="auto" w:fill="auto"/>
              <w:tabs>
                <w:tab w:val="left" w:pos="216"/>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查课程定位、目标、内容确定 依据；</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④</w:t>
            </w:r>
            <w:r>
              <w:rPr>
                <w:color w:val="auto"/>
                <w:spacing w:val="0"/>
                <w:w w:val="100"/>
                <w:position w:val="0"/>
                <w:sz w:val="22"/>
                <w:szCs w:val="22"/>
              </w:rPr>
              <w:t>查专业核心课程及依据；</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⑤</w:t>
            </w:r>
            <w:r>
              <w:rPr>
                <w:color w:val="auto"/>
                <w:spacing w:val="0"/>
                <w:w w:val="100"/>
                <w:position w:val="0"/>
                <w:sz w:val="22"/>
                <w:szCs w:val="22"/>
              </w:rPr>
              <w:t>查专业教学计划、教学大纲、 实训大纲等教学文件。</w:t>
            </w:r>
          </w:p>
        </w:tc>
      </w:tr>
      <w:tr>
        <w:tblPrEx>
          <w:tblCellMar>
            <w:top w:w="0" w:type="dxa"/>
            <w:left w:w="10" w:type="dxa"/>
            <w:bottom w:w="0" w:type="dxa"/>
            <w:right w:w="10" w:type="dxa"/>
          </w:tblCellMar>
        </w:tblPrEx>
        <w:trPr>
          <w:trHeight w:val="852" w:hRule="exact"/>
          <w:jc w:val="center"/>
        </w:trPr>
        <w:tc>
          <w:tcPr>
            <w:vMerge w:val="continue"/>
            <w:tcBorders>
              <w:left w:val="single" w:color="auto" w:sz="4" w:space="0"/>
            </w:tcBorders>
            <w:shd w:val="clear" w:color="auto" w:fill="FFFFFF"/>
            <w:vAlign w:val="top"/>
          </w:tcPr>
          <w:p>
            <w:pPr>
              <w:rPr>
                <w:color w:val="auto"/>
                <w:sz w:val="21"/>
                <w:szCs w:val="21"/>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88" w:lineRule="exact"/>
              <w:ind w:left="0" w:right="0" w:firstLine="0"/>
              <w:jc w:val="both"/>
              <w:rPr>
                <w:color w:val="auto"/>
                <w:sz w:val="22"/>
                <w:szCs w:val="22"/>
              </w:rPr>
            </w:pPr>
            <w:r>
              <w:rPr>
                <w:rFonts w:ascii="Times New Roman" w:hAnsi="Times New Roman" w:eastAsia="Times New Roman" w:cs="Times New Roman"/>
                <w:b/>
                <w:bCs/>
                <w:color w:val="auto"/>
                <w:spacing w:val="0"/>
                <w:w w:val="100"/>
                <w:position w:val="0"/>
                <w:sz w:val="24"/>
                <w:szCs w:val="24"/>
                <w:lang w:val="en-US" w:eastAsia="en-US" w:bidi="en-US"/>
              </w:rPr>
              <w:t>2-4</w:t>
            </w:r>
            <w:r>
              <w:rPr>
                <w:color w:val="auto"/>
                <w:spacing w:val="0"/>
                <w:w w:val="100"/>
                <w:position w:val="0"/>
                <w:sz w:val="22"/>
                <w:szCs w:val="22"/>
              </w:rPr>
              <w:t>专业课程 建设</w:t>
            </w:r>
            <w:r>
              <w:rPr>
                <w:b/>
                <w:bCs/>
                <w:color w:val="auto"/>
                <w:spacing w:val="0"/>
                <w:w w:val="100"/>
                <w:position w:val="0"/>
                <w:sz w:val="24"/>
                <w:szCs w:val="24"/>
              </w:rPr>
              <w:t>（</w:t>
            </w:r>
            <w:r>
              <w:rPr>
                <w:rFonts w:ascii="Times New Roman" w:hAnsi="Times New Roman" w:eastAsia="Times New Roman" w:cs="Times New Roman"/>
                <w:b/>
                <w:bCs/>
                <w:color w:val="auto"/>
                <w:spacing w:val="0"/>
                <w:w w:val="100"/>
                <w:position w:val="0"/>
                <w:sz w:val="24"/>
                <w:szCs w:val="24"/>
              </w:rPr>
              <w:t>5</w:t>
            </w:r>
            <w:r>
              <w:rPr>
                <w:color w:val="auto"/>
                <w:spacing w:val="0"/>
                <w:w w:val="100"/>
                <w:position w:val="0"/>
                <w:sz w:val="22"/>
                <w:szCs w:val="22"/>
              </w:rPr>
              <w:t>分）</w:t>
            </w:r>
          </w:p>
        </w:tc>
        <w:tc>
          <w:tcPr>
            <w:tcBorders>
              <w:top w:val="single" w:color="auto" w:sz="4" w:space="0"/>
              <w:left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both"/>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根据专业人才培养情况，制定科学合理、操作性强的专业课程 建设计划；</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both"/>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专业课程建设成绩突出，有具体建设成果。</w:t>
            </w:r>
          </w:p>
        </w:tc>
        <w:tc>
          <w:tcPr>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查专业课程课程标准、大纲等 课程教学资料；</w:t>
            </w:r>
          </w:p>
          <w:p>
            <w:pPr>
              <w:pStyle w:val="19"/>
              <w:keepNext w:val="0"/>
              <w:keepLines w:val="0"/>
              <w:widowControl w:val="0"/>
              <w:numPr>
                <w:ilvl w:val="0"/>
                <w:numId w:val="0"/>
              </w:numPr>
              <w:shd w:val="clear" w:color="auto" w:fill="auto"/>
              <w:tabs>
                <w:tab w:val="left" w:pos="216"/>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查专业课程改革的比例。</w:t>
            </w:r>
          </w:p>
        </w:tc>
      </w:tr>
      <w:tr>
        <w:tblPrEx>
          <w:tblCellMar>
            <w:top w:w="0" w:type="dxa"/>
            <w:left w:w="10" w:type="dxa"/>
            <w:bottom w:w="0" w:type="dxa"/>
            <w:right w:w="10" w:type="dxa"/>
          </w:tblCellMar>
        </w:tblPrEx>
        <w:trPr>
          <w:trHeight w:val="1128" w:hRule="exact"/>
          <w:jc w:val="center"/>
        </w:trPr>
        <w:tc>
          <w:tcPr>
            <w:vMerge w:val="continue"/>
            <w:tcBorders>
              <w:left w:val="single" w:color="auto" w:sz="4" w:space="0"/>
            </w:tcBorders>
            <w:shd w:val="clear" w:color="auto" w:fill="FFFFFF"/>
            <w:vAlign w:val="top"/>
          </w:tcPr>
          <w:p>
            <w:pPr>
              <w:rPr>
                <w:color w:val="auto"/>
                <w:sz w:val="21"/>
                <w:szCs w:val="21"/>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64" w:lineRule="exact"/>
              <w:ind w:left="0" w:right="0" w:firstLine="0"/>
              <w:jc w:val="both"/>
              <w:rPr>
                <w:color w:val="auto"/>
                <w:sz w:val="22"/>
                <w:szCs w:val="22"/>
              </w:rPr>
            </w:pPr>
            <w:r>
              <w:rPr>
                <w:rFonts w:ascii="Times New Roman" w:hAnsi="Times New Roman" w:eastAsia="Times New Roman" w:cs="Times New Roman"/>
                <w:b/>
                <w:bCs/>
                <w:color w:val="auto"/>
                <w:spacing w:val="0"/>
                <w:w w:val="100"/>
                <w:position w:val="0"/>
                <w:sz w:val="24"/>
                <w:szCs w:val="24"/>
                <w:lang w:val="en-US" w:eastAsia="en-US" w:bidi="en-US"/>
              </w:rPr>
              <w:t>2-5</w:t>
            </w:r>
            <w:r>
              <w:rPr>
                <w:color w:val="auto"/>
                <w:spacing w:val="0"/>
                <w:w w:val="100"/>
                <w:position w:val="0"/>
                <w:sz w:val="22"/>
                <w:szCs w:val="22"/>
              </w:rPr>
              <w:t>专业实习 环节</w:t>
            </w:r>
            <w:r>
              <w:rPr>
                <w:b/>
                <w:bCs/>
                <w:color w:val="auto"/>
                <w:spacing w:val="0"/>
                <w:w w:val="100"/>
                <w:position w:val="0"/>
                <w:sz w:val="24"/>
                <w:szCs w:val="24"/>
              </w:rPr>
              <w:t>（</w:t>
            </w:r>
            <w:r>
              <w:rPr>
                <w:rFonts w:ascii="Times New Roman" w:hAnsi="Times New Roman" w:eastAsia="Times New Roman" w:cs="Times New Roman"/>
                <w:b/>
                <w:bCs/>
                <w:color w:val="auto"/>
                <w:spacing w:val="0"/>
                <w:w w:val="100"/>
                <w:position w:val="0"/>
                <w:sz w:val="24"/>
                <w:szCs w:val="24"/>
              </w:rPr>
              <w:t>4</w:t>
            </w:r>
            <w:r>
              <w:rPr>
                <w:color w:val="auto"/>
                <w:spacing w:val="0"/>
                <w:w w:val="100"/>
                <w:position w:val="0"/>
                <w:sz w:val="22"/>
                <w:szCs w:val="22"/>
              </w:rPr>
              <w:t>分）</w:t>
            </w:r>
          </w:p>
        </w:tc>
        <w:tc>
          <w:tcPr>
            <w:tcBorders>
              <w:top w:val="single" w:color="auto" w:sz="4" w:space="0"/>
              <w:left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both"/>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专业安排认识实习和生产实习两个实习环节；</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both"/>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积极推进顶岗式的生产实习，建立了完善的顶岗实习机制；</w:t>
            </w:r>
          </w:p>
          <w:p>
            <w:pPr>
              <w:pStyle w:val="19"/>
              <w:keepNext w:val="0"/>
              <w:keepLines w:val="0"/>
              <w:widowControl w:val="0"/>
              <w:numPr>
                <w:ilvl w:val="0"/>
                <w:numId w:val="0"/>
              </w:numPr>
              <w:shd w:val="clear" w:color="auto" w:fill="auto"/>
              <w:tabs>
                <w:tab w:val="left" w:pos="216"/>
              </w:tabs>
              <w:bidi w:val="0"/>
              <w:spacing w:before="0" w:after="0" w:line="240" w:lineRule="auto"/>
              <w:ind w:leftChars="0" w:right="0" w:rightChars="0"/>
              <w:jc w:val="both"/>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实习环节教学资料完善，符合专业培养目标要求；</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both"/>
              <w:rPr>
                <w:color w:val="auto"/>
                <w:sz w:val="22"/>
                <w:szCs w:val="22"/>
              </w:rPr>
            </w:pPr>
            <w:r>
              <w:rPr>
                <w:rFonts w:hint="eastAsia"/>
                <w:color w:val="auto"/>
                <w:spacing w:val="0"/>
                <w:w w:val="100"/>
                <w:position w:val="0"/>
                <w:sz w:val="22"/>
                <w:szCs w:val="22"/>
                <w:lang w:val="en-US" w:eastAsia="zh-CN"/>
              </w:rPr>
              <w:t>④</w:t>
            </w:r>
            <w:r>
              <w:rPr>
                <w:color w:val="auto"/>
                <w:spacing w:val="0"/>
                <w:w w:val="100"/>
                <w:position w:val="0"/>
                <w:sz w:val="22"/>
                <w:szCs w:val="22"/>
              </w:rPr>
              <w:t>学生实习笔记、实习报吿有规范性要求。</w:t>
            </w:r>
          </w:p>
        </w:tc>
        <w:tc>
          <w:tcPr>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252"/>
              </w:tabs>
              <w:bidi w:val="0"/>
              <w:spacing w:before="0" w:after="0" w:line="276"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查专业人才培养方案；</w:t>
            </w:r>
          </w:p>
          <w:p>
            <w:pPr>
              <w:pStyle w:val="19"/>
              <w:keepNext w:val="0"/>
              <w:keepLines w:val="0"/>
              <w:widowControl w:val="0"/>
              <w:numPr>
                <w:ilvl w:val="0"/>
                <w:numId w:val="0"/>
              </w:numPr>
              <w:shd w:val="clear" w:color="auto" w:fill="auto"/>
              <w:tabs>
                <w:tab w:val="left" w:pos="264"/>
              </w:tabs>
              <w:bidi w:val="0"/>
              <w:spacing w:before="0" w:after="0" w:line="276"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查实习大纲，实习指导书；</w:t>
            </w:r>
          </w:p>
          <w:p>
            <w:pPr>
              <w:pStyle w:val="19"/>
              <w:keepNext w:val="0"/>
              <w:keepLines w:val="0"/>
              <w:widowControl w:val="0"/>
              <w:numPr>
                <w:ilvl w:val="0"/>
                <w:numId w:val="0"/>
              </w:numPr>
              <w:shd w:val="clear" w:color="auto" w:fill="auto"/>
              <w:tabs>
                <w:tab w:val="left" w:pos="252"/>
              </w:tabs>
              <w:bidi w:val="0"/>
              <w:spacing w:before="0" w:after="0" w:line="276" w:lineRule="exact"/>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查实习计划，安排； 查实习笔记、报吿及要求。</w:t>
            </w:r>
          </w:p>
        </w:tc>
      </w:tr>
      <w:tr>
        <w:tblPrEx>
          <w:tblCellMar>
            <w:top w:w="0" w:type="dxa"/>
            <w:left w:w="10" w:type="dxa"/>
            <w:bottom w:w="0" w:type="dxa"/>
            <w:right w:w="10" w:type="dxa"/>
          </w:tblCellMar>
        </w:tblPrEx>
        <w:trPr>
          <w:trHeight w:val="1466" w:hRule="exact"/>
          <w:jc w:val="center"/>
        </w:trPr>
        <w:tc>
          <w:tcPr>
            <w:vMerge w:val="continue"/>
            <w:tcBorders>
              <w:left w:val="single" w:color="auto" w:sz="4" w:space="0"/>
            </w:tcBorders>
            <w:shd w:val="clear" w:color="auto" w:fill="FFFFFF"/>
            <w:vAlign w:val="top"/>
          </w:tcPr>
          <w:p>
            <w:pPr>
              <w:rPr>
                <w:color w:val="auto"/>
                <w:sz w:val="21"/>
                <w:szCs w:val="21"/>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6" w:lineRule="exact"/>
              <w:ind w:left="0" w:right="0" w:firstLine="0"/>
              <w:jc w:val="both"/>
              <w:rPr>
                <w:color w:val="auto"/>
                <w:sz w:val="22"/>
                <w:szCs w:val="22"/>
              </w:rPr>
            </w:pPr>
            <w:r>
              <w:rPr>
                <w:rFonts w:ascii="Times New Roman" w:hAnsi="Times New Roman" w:eastAsia="Times New Roman" w:cs="Times New Roman"/>
                <w:b/>
                <w:bCs/>
                <w:color w:val="auto"/>
                <w:spacing w:val="0"/>
                <w:w w:val="100"/>
                <w:position w:val="0"/>
                <w:sz w:val="24"/>
                <w:szCs w:val="24"/>
              </w:rPr>
              <w:t>2-6</w:t>
            </w:r>
            <w:r>
              <w:rPr>
                <w:color w:val="auto"/>
                <w:spacing w:val="0"/>
                <w:w w:val="100"/>
                <w:position w:val="0"/>
                <w:sz w:val="22"/>
                <w:szCs w:val="22"/>
              </w:rPr>
              <w:t>专业职业 证书</w:t>
            </w:r>
            <w:r>
              <w:rPr>
                <w:b/>
                <w:bCs/>
                <w:color w:val="auto"/>
                <w:spacing w:val="0"/>
                <w:w w:val="100"/>
                <w:position w:val="0"/>
                <w:sz w:val="24"/>
                <w:szCs w:val="24"/>
              </w:rPr>
              <w:t>（</w:t>
            </w:r>
            <w:r>
              <w:rPr>
                <w:rFonts w:ascii="Times New Roman" w:hAnsi="Times New Roman" w:eastAsia="Times New Roman" w:cs="Times New Roman"/>
                <w:b/>
                <w:bCs/>
                <w:color w:val="auto"/>
                <w:spacing w:val="0"/>
                <w:w w:val="100"/>
                <w:position w:val="0"/>
                <w:sz w:val="24"/>
                <w:szCs w:val="24"/>
              </w:rPr>
              <w:t>2</w:t>
            </w:r>
            <w:r>
              <w:rPr>
                <w:color w:val="auto"/>
                <w:spacing w:val="0"/>
                <w:w w:val="100"/>
                <w:position w:val="0"/>
                <w:sz w:val="22"/>
                <w:szCs w:val="22"/>
              </w:rPr>
              <w:t>分）</w:t>
            </w:r>
          </w:p>
        </w:tc>
        <w:tc>
          <w:tcPr>
            <w:tcBorders>
              <w:top w:val="single" w:color="auto" w:sz="4" w:space="0"/>
              <w:left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both"/>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专业培养方案能够引入技术含量较高的职业资格证书或技术等 级证书，有效实施双证书教育；</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both"/>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课程体系包含职业资格要求的内容和标准；</w:t>
            </w:r>
          </w:p>
          <w:p>
            <w:pPr>
              <w:pStyle w:val="19"/>
              <w:keepNext w:val="0"/>
              <w:keepLines w:val="0"/>
              <w:widowControl w:val="0"/>
              <w:numPr>
                <w:ilvl w:val="0"/>
                <w:numId w:val="0"/>
              </w:numPr>
              <w:shd w:val="clear" w:color="auto" w:fill="auto"/>
              <w:tabs>
                <w:tab w:val="left" w:pos="204"/>
              </w:tabs>
              <w:bidi w:val="0"/>
              <w:spacing w:before="0" w:after="0" w:line="300" w:lineRule="exact"/>
              <w:ind w:leftChars="0" w:right="0" w:rightChars="0"/>
              <w:jc w:val="both"/>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有明确的正式考核方案，积极推行职业技能鉴定和课程考核统一 的</w:t>
            </w:r>
            <w:r>
              <w:rPr>
                <w:color w:val="auto"/>
                <w:spacing w:val="0"/>
                <w:w w:val="100"/>
                <w:position w:val="0"/>
                <w:sz w:val="22"/>
                <w:szCs w:val="22"/>
                <w:lang w:val="zh-CN" w:eastAsia="zh-CN" w:bidi="zh-CN"/>
              </w:rPr>
              <w:t>“直</w:t>
            </w:r>
            <w:r>
              <w:rPr>
                <w:color w:val="auto"/>
                <w:spacing w:val="0"/>
                <w:w w:val="100"/>
                <w:position w:val="0"/>
                <w:sz w:val="22"/>
                <w:szCs w:val="22"/>
              </w:rPr>
              <w:t>通车”考核模式。</w:t>
            </w:r>
          </w:p>
        </w:tc>
        <w:tc>
          <w:tcPr>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查职业资格标准，技能鉴定标 准等；</w:t>
            </w:r>
          </w:p>
          <w:p>
            <w:pPr>
              <w:pStyle w:val="19"/>
              <w:keepNext w:val="0"/>
              <w:keepLines w:val="0"/>
              <w:widowControl w:val="0"/>
              <w:numPr>
                <w:ilvl w:val="0"/>
                <w:numId w:val="0"/>
              </w:numPr>
              <w:shd w:val="clear" w:color="auto" w:fill="auto"/>
              <w:tabs>
                <w:tab w:val="left" w:pos="216"/>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查专业课程课程标准、大纲等 课程教学资料；</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查技能鉴定相关文件。</w:t>
            </w:r>
          </w:p>
        </w:tc>
      </w:tr>
      <w:tr>
        <w:tblPrEx>
          <w:tblCellMar>
            <w:top w:w="0" w:type="dxa"/>
            <w:left w:w="10" w:type="dxa"/>
            <w:bottom w:w="0" w:type="dxa"/>
            <w:right w:w="10" w:type="dxa"/>
          </w:tblCellMar>
        </w:tblPrEx>
        <w:trPr>
          <w:trHeight w:val="864" w:hRule="exact"/>
          <w:jc w:val="center"/>
        </w:trPr>
        <w:tc>
          <w:tcPr>
            <w:vMerge w:val="continue"/>
            <w:tcBorders>
              <w:left w:val="single" w:color="auto" w:sz="4" w:space="0"/>
              <w:bottom w:val="single" w:color="auto" w:sz="4" w:space="0"/>
            </w:tcBorders>
            <w:shd w:val="clear" w:color="auto" w:fill="FFFFFF"/>
            <w:vAlign w:val="top"/>
          </w:tcPr>
          <w:p>
            <w:pPr>
              <w:rPr>
                <w:color w:val="auto"/>
                <w:sz w:val="21"/>
                <w:szCs w:val="21"/>
              </w:rPr>
            </w:pP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300" w:lineRule="exact"/>
              <w:ind w:left="0" w:right="0" w:firstLine="0"/>
              <w:jc w:val="both"/>
              <w:rPr>
                <w:color w:val="auto"/>
                <w:sz w:val="22"/>
                <w:szCs w:val="22"/>
              </w:rPr>
            </w:pPr>
            <w:r>
              <w:rPr>
                <w:rFonts w:ascii="Times New Roman" w:hAnsi="Times New Roman" w:eastAsia="Times New Roman" w:cs="Times New Roman"/>
                <w:b/>
                <w:bCs/>
                <w:color w:val="auto"/>
                <w:spacing w:val="0"/>
                <w:w w:val="100"/>
                <w:position w:val="0"/>
                <w:sz w:val="24"/>
                <w:szCs w:val="24"/>
                <w:lang w:val="en-US" w:eastAsia="en-US" w:bidi="en-US"/>
              </w:rPr>
              <w:t>2-7</w:t>
            </w:r>
            <w:r>
              <w:rPr>
                <w:color w:val="auto"/>
                <w:spacing w:val="0"/>
                <w:w w:val="100"/>
                <w:position w:val="0"/>
                <w:sz w:val="22"/>
                <w:szCs w:val="22"/>
              </w:rPr>
              <w:t>专业教学 计划</w:t>
            </w:r>
            <w:r>
              <w:rPr>
                <w:b/>
                <w:bCs/>
                <w:color w:val="auto"/>
                <w:spacing w:val="0"/>
                <w:w w:val="100"/>
                <w:position w:val="0"/>
                <w:sz w:val="24"/>
                <w:szCs w:val="24"/>
              </w:rPr>
              <w:t>（</w:t>
            </w:r>
            <w:r>
              <w:rPr>
                <w:rFonts w:ascii="Times New Roman" w:hAnsi="Times New Roman" w:eastAsia="Times New Roman" w:cs="Times New Roman"/>
                <w:b/>
                <w:bCs/>
                <w:color w:val="auto"/>
                <w:spacing w:val="0"/>
                <w:w w:val="100"/>
                <w:position w:val="0"/>
                <w:sz w:val="24"/>
                <w:szCs w:val="24"/>
              </w:rPr>
              <w:t>4</w:t>
            </w:r>
            <w:r>
              <w:rPr>
                <w:color w:val="auto"/>
                <w:spacing w:val="0"/>
                <w:w w:val="100"/>
                <w:position w:val="0"/>
                <w:sz w:val="22"/>
                <w:szCs w:val="22"/>
              </w:rPr>
              <w:t>分）</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p>
        </w:tc>
        <w:tc>
          <w:tcPr>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both"/>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计划编排科学合理，课时分配、课程衔接符合人才培养规律；</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both"/>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教学计划科学规范，教学大纲齐全；</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both"/>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建立了订单式培养机制。</w:t>
            </w:r>
          </w:p>
        </w:tc>
        <w:tc>
          <w:tcPr>
            <w:tcBorders>
              <w:top w:val="single" w:color="auto" w:sz="4" w:space="0"/>
              <w:left w:val="single" w:color="auto" w:sz="4" w:space="0"/>
              <w:bottom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bottom w:val="single" w:color="auto" w:sz="4" w:space="0"/>
            </w:tcBorders>
            <w:shd w:val="clear" w:color="auto" w:fill="FFFFFF"/>
            <w:vAlign w:val="top"/>
          </w:tcPr>
          <w:p>
            <w:pPr>
              <w:widowControl w:val="0"/>
              <w:rPr>
                <w:color w:val="auto"/>
                <w:sz w:val="6"/>
                <w:szCs w:val="6"/>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6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查专业人才培养方案；</w:t>
            </w:r>
          </w:p>
          <w:p>
            <w:pPr>
              <w:pStyle w:val="19"/>
              <w:keepNext w:val="0"/>
              <w:keepLines w:val="0"/>
              <w:widowControl w:val="0"/>
              <w:numPr>
                <w:ilvl w:val="0"/>
                <w:numId w:val="0"/>
              </w:numPr>
              <w:shd w:val="clear" w:color="auto" w:fill="auto"/>
              <w:tabs>
                <w:tab w:val="left" w:pos="26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查订单式培养计划和相关文 件</w:t>
            </w:r>
            <w:r>
              <w:rPr>
                <w:color w:val="auto"/>
                <w:spacing w:val="0"/>
                <w:w w:val="100"/>
                <w:position w:val="0"/>
                <w:sz w:val="22"/>
                <w:szCs w:val="22"/>
                <w:lang w:val="en-US" w:eastAsia="en-US" w:bidi="en-US"/>
              </w:rPr>
              <w:t>•</w:t>
            </w:r>
          </w:p>
        </w:tc>
      </w:tr>
    </w:tbl>
    <w:p>
      <w:pPr>
        <w:pStyle w:val="21"/>
        <w:keepNext w:val="0"/>
        <w:keepLines w:val="0"/>
        <w:widowControl w:val="0"/>
        <w:shd w:val="clear" w:color="auto" w:fill="auto"/>
        <w:bidi w:val="0"/>
        <w:spacing w:before="0" w:after="0" w:line="240" w:lineRule="auto"/>
        <w:ind w:left="7212" w:right="0" w:firstLine="0"/>
        <w:jc w:val="left"/>
        <w:rPr>
          <w:color w:val="auto"/>
        </w:rPr>
        <w:sectPr>
          <w:headerReference r:id="rId13" w:type="first"/>
          <w:footerReference r:id="rId16" w:type="first"/>
          <w:headerReference r:id="rId11" w:type="default"/>
          <w:footerReference r:id="rId14" w:type="default"/>
          <w:headerReference r:id="rId12" w:type="even"/>
          <w:footerReference r:id="rId15" w:type="even"/>
          <w:footnotePr>
            <w:numFmt w:val="decimal"/>
          </w:footnotePr>
          <w:pgSz w:w="16840" w:h="11900" w:orient="landscape"/>
          <w:pgMar w:top="1341" w:right="1130" w:bottom="1067" w:left="1154" w:header="0" w:footer="3" w:gutter="0"/>
          <w:pgNumType w:fmt="decimal"/>
          <w:cols w:space="720" w:num="1"/>
          <w:titlePg/>
          <w:rtlGutter w:val="0"/>
          <w:docGrid w:linePitch="360" w:charSpace="0"/>
        </w:sectPr>
      </w:pPr>
    </w:p>
    <w:tbl>
      <w:tblPr>
        <w:tblStyle w:val="5"/>
        <w:tblW w:w="0" w:type="auto"/>
        <w:jc w:val="center"/>
        <w:tblLayout w:type="fixed"/>
        <w:tblCellMar>
          <w:top w:w="0" w:type="dxa"/>
          <w:left w:w="10" w:type="dxa"/>
          <w:bottom w:w="0" w:type="dxa"/>
          <w:right w:w="10" w:type="dxa"/>
        </w:tblCellMar>
      </w:tblPr>
      <w:tblGrid>
        <w:gridCol w:w="696"/>
        <w:gridCol w:w="1392"/>
        <w:gridCol w:w="6120"/>
        <w:gridCol w:w="2520"/>
        <w:gridCol w:w="720"/>
        <w:gridCol w:w="3108"/>
      </w:tblGrid>
      <w:tr>
        <w:tblPrEx>
          <w:tblCellMar>
            <w:top w:w="0" w:type="dxa"/>
            <w:left w:w="10" w:type="dxa"/>
            <w:bottom w:w="0" w:type="dxa"/>
            <w:right w:w="10" w:type="dxa"/>
          </w:tblCellMar>
        </w:tblPrEx>
        <w:trPr>
          <w:trHeight w:val="408" w:hRule="exact"/>
          <w:jc w:val="center"/>
        </w:trPr>
        <w:tc>
          <w:tcPr>
            <w:tcW w:w="2088" w:type="dxa"/>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评审指标</w:t>
            </w:r>
          </w:p>
        </w:tc>
        <w:tc>
          <w:tcPr>
            <w:tcW w:w="6120"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评分标准要求</w:t>
            </w:r>
          </w:p>
        </w:tc>
        <w:tc>
          <w:tcPr>
            <w:tcW w:w="2520"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依据</w:t>
            </w:r>
          </w:p>
        </w:tc>
        <w:tc>
          <w:tcPr>
            <w:tcW w:w="720"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得分</w:t>
            </w:r>
          </w:p>
        </w:tc>
        <w:tc>
          <w:tcPr>
            <w:tcW w:w="3108" w:type="dxa"/>
            <w:vMerge w:val="restart"/>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考察方式</w:t>
            </w:r>
          </w:p>
        </w:tc>
      </w:tr>
      <w:tr>
        <w:tblPrEx>
          <w:tblCellMar>
            <w:top w:w="0" w:type="dxa"/>
            <w:left w:w="10" w:type="dxa"/>
            <w:bottom w:w="0" w:type="dxa"/>
            <w:right w:w="10" w:type="dxa"/>
          </w:tblCellMar>
        </w:tblPrEx>
        <w:trPr>
          <w:trHeight w:val="576" w:hRule="exact"/>
          <w:jc w:val="center"/>
        </w:trPr>
        <w:tc>
          <w:tcPr>
            <w:tcW w:w="69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88" w:lineRule="exact"/>
              <w:ind w:left="0" w:right="0" w:firstLine="0"/>
              <w:jc w:val="left"/>
              <w:rPr>
                <w:color w:val="auto"/>
                <w:sz w:val="22"/>
                <w:szCs w:val="22"/>
              </w:rPr>
            </w:pPr>
            <w:r>
              <w:rPr>
                <w:color w:val="auto"/>
                <w:spacing w:val="0"/>
                <w:w w:val="100"/>
                <w:position w:val="0"/>
                <w:sz w:val="22"/>
                <w:szCs w:val="22"/>
              </w:rPr>
              <w:t>一级 指标</w:t>
            </w: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二级指标</w:t>
            </w:r>
          </w:p>
        </w:tc>
        <w:tc>
          <w:tcPr>
            <w:tcW w:w="6120" w:type="dxa"/>
            <w:vMerge w:val="continue"/>
            <w:tcBorders>
              <w:left w:val="single" w:color="auto" w:sz="4" w:space="0"/>
            </w:tcBorders>
            <w:shd w:val="clear" w:color="auto" w:fill="FFFFFF"/>
            <w:vAlign w:val="center"/>
          </w:tcPr>
          <w:p>
            <w:pPr>
              <w:rPr>
                <w:color w:val="auto"/>
                <w:sz w:val="21"/>
                <w:szCs w:val="21"/>
              </w:rPr>
            </w:pPr>
          </w:p>
        </w:tc>
        <w:tc>
          <w:tcPr>
            <w:tcW w:w="2520" w:type="dxa"/>
            <w:vMerge w:val="continue"/>
            <w:tcBorders>
              <w:left w:val="single" w:color="auto" w:sz="4" w:space="0"/>
            </w:tcBorders>
            <w:shd w:val="clear" w:color="auto" w:fill="FFFFFF"/>
            <w:vAlign w:val="center"/>
          </w:tcPr>
          <w:p>
            <w:pPr>
              <w:rPr>
                <w:color w:val="auto"/>
                <w:sz w:val="21"/>
                <w:szCs w:val="21"/>
              </w:rPr>
            </w:pPr>
          </w:p>
        </w:tc>
        <w:tc>
          <w:tcPr>
            <w:tcW w:w="720" w:type="dxa"/>
            <w:vMerge w:val="continue"/>
            <w:tcBorders>
              <w:left w:val="single" w:color="auto" w:sz="4" w:space="0"/>
            </w:tcBorders>
            <w:shd w:val="clear" w:color="auto" w:fill="FFFFFF"/>
            <w:vAlign w:val="center"/>
          </w:tcPr>
          <w:p>
            <w:pPr>
              <w:rPr>
                <w:color w:val="auto"/>
                <w:sz w:val="21"/>
                <w:szCs w:val="21"/>
              </w:rPr>
            </w:pPr>
          </w:p>
        </w:tc>
        <w:tc>
          <w:tcPr>
            <w:tcW w:w="3108" w:type="dxa"/>
            <w:vMerge w:val="continue"/>
            <w:tcBorders>
              <w:left w:val="single" w:color="auto" w:sz="4" w:space="0"/>
              <w:right w:val="single" w:color="auto" w:sz="4" w:space="0"/>
            </w:tcBorders>
            <w:shd w:val="clear" w:color="auto" w:fill="FFFFFF"/>
            <w:vAlign w:val="center"/>
          </w:tcPr>
          <w:p>
            <w:pPr>
              <w:rPr>
                <w:color w:val="auto"/>
                <w:sz w:val="21"/>
                <w:szCs w:val="21"/>
              </w:rPr>
            </w:pPr>
          </w:p>
        </w:tc>
      </w:tr>
      <w:tr>
        <w:tblPrEx>
          <w:tblCellMar>
            <w:top w:w="0" w:type="dxa"/>
            <w:left w:w="10" w:type="dxa"/>
            <w:bottom w:w="0" w:type="dxa"/>
            <w:right w:w="10" w:type="dxa"/>
          </w:tblCellMar>
        </w:tblPrEx>
        <w:trPr>
          <w:trHeight w:val="1009" w:hRule="exact"/>
          <w:jc w:val="center"/>
        </w:trPr>
        <w:tc>
          <w:tcPr>
            <w:tcW w:w="696" w:type="dxa"/>
            <w:vMerge w:val="restart"/>
            <w:tcBorders>
              <w:top w:val="single" w:color="auto" w:sz="4" w:space="0"/>
              <w:left w:val="single" w:color="auto" w:sz="4" w:space="0"/>
            </w:tcBorders>
            <w:shd w:val="clear" w:color="auto" w:fill="FFFFFF"/>
            <w:vAlign w:val="top"/>
          </w:tcPr>
          <w:p>
            <w:pPr>
              <w:widowControl w:val="0"/>
              <w:rPr>
                <w:color w:val="auto"/>
                <w:sz w:val="6"/>
                <w:szCs w:val="6"/>
              </w:rPr>
            </w:pPr>
          </w:p>
        </w:tc>
        <w:tc>
          <w:tcPr>
            <w:tcW w:w="1392"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12" w:lineRule="exact"/>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4"/>
                <w:szCs w:val="24"/>
                <w:lang w:val="en-US" w:eastAsia="en-US" w:bidi="en-US"/>
              </w:rPr>
              <w:t>2-8</w:t>
            </w:r>
            <w:r>
              <w:rPr>
                <w:color w:val="auto"/>
                <w:spacing w:val="0"/>
                <w:w w:val="100"/>
                <w:position w:val="0"/>
                <w:sz w:val="22"/>
                <w:szCs w:val="22"/>
              </w:rPr>
              <w:t>职业素养 培养的体现</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4"/>
                <w:szCs w:val="24"/>
              </w:rPr>
              <w:t>（2</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有明确体现一般职业精神和专业职业精神的教学内容；</w:t>
            </w:r>
          </w:p>
          <w:p>
            <w:pPr>
              <w:pStyle w:val="19"/>
              <w:keepNext w:val="0"/>
              <w:keepLines w:val="0"/>
              <w:widowControl w:val="0"/>
              <w:numPr>
                <w:ilvl w:val="0"/>
                <w:numId w:val="0"/>
              </w:numPr>
              <w:shd w:val="clear" w:color="auto" w:fill="auto"/>
              <w:tabs>
                <w:tab w:val="left" w:pos="216"/>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职业精神教育贯穿于教学活动的各环节；</w:t>
            </w:r>
          </w:p>
          <w:p>
            <w:pPr>
              <w:pStyle w:val="19"/>
              <w:keepNext w:val="0"/>
              <w:keepLines w:val="0"/>
              <w:widowControl w:val="0"/>
              <w:numPr>
                <w:ilvl w:val="0"/>
                <w:numId w:val="0"/>
              </w:numPr>
              <w:shd w:val="clear" w:color="auto" w:fill="auto"/>
              <w:tabs>
                <w:tab w:val="left" w:pos="216"/>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职业精神纳入了专业技术教学各环节的评价考核中。</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5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查专业人才培养方案；</w:t>
            </w:r>
          </w:p>
          <w:p>
            <w:pPr>
              <w:pStyle w:val="19"/>
              <w:keepNext w:val="0"/>
              <w:keepLines w:val="0"/>
              <w:widowControl w:val="0"/>
              <w:numPr>
                <w:ilvl w:val="0"/>
                <w:numId w:val="0"/>
              </w:numPr>
              <w:shd w:val="clear" w:color="auto" w:fill="auto"/>
              <w:tabs>
                <w:tab w:val="left" w:pos="25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查教学文件和相关资料</w:t>
            </w:r>
            <w:r>
              <w:rPr>
                <w:color w:val="auto"/>
                <w:spacing w:val="0"/>
                <w:w w:val="100"/>
                <w:position w:val="0"/>
                <w:sz w:val="22"/>
                <w:szCs w:val="22"/>
                <w:lang w:val="en-US" w:eastAsia="en-US" w:bidi="en-US"/>
              </w:rPr>
              <w:t>•</w:t>
            </w:r>
          </w:p>
        </w:tc>
      </w:tr>
      <w:tr>
        <w:tblPrEx>
          <w:tblCellMar>
            <w:top w:w="0" w:type="dxa"/>
            <w:left w:w="10" w:type="dxa"/>
            <w:bottom w:w="0" w:type="dxa"/>
            <w:right w:w="10" w:type="dxa"/>
          </w:tblCellMar>
        </w:tblPrEx>
        <w:trPr>
          <w:trHeight w:val="952" w:hRule="exact"/>
          <w:jc w:val="center"/>
        </w:trPr>
        <w:tc>
          <w:tcPr>
            <w:tcW w:w="696" w:type="dxa"/>
            <w:vMerge w:val="continue"/>
            <w:tcBorders>
              <w:left w:val="single" w:color="auto" w:sz="4" w:space="0"/>
            </w:tcBorders>
            <w:shd w:val="clear" w:color="auto" w:fill="FFFFFF"/>
            <w:vAlign w:val="top"/>
          </w:tcPr>
          <w:p>
            <w:pPr>
              <w:rPr>
                <w:color w:val="auto"/>
                <w:sz w:val="21"/>
                <w:szCs w:val="21"/>
              </w:rPr>
            </w:pPr>
          </w:p>
        </w:tc>
        <w:tc>
          <w:tcPr>
            <w:tcW w:w="1392"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312" w:lineRule="exact"/>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4"/>
                <w:szCs w:val="24"/>
                <w:lang w:val="en-US" w:eastAsia="en-US" w:bidi="en-US"/>
              </w:rPr>
              <w:t>2-9</w:t>
            </w:r>
            <w:r>
              <w:rPr>
                <w:color w:val="auto"/>
                <w:spacing w:val="0"/>
                <w:w w:val="100"/>
                <w:position w:val="0"/>
                <w:sz w:val="22"/>
                <w:szCs w:val="22"/>
              </w:rPr>
              <w:t>综合素养 培养的体现</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4"/>
                <w:szCs w:val="24"/>
              </w:rPr>
              <w:t>（2</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center"/>
          </w:tcPr>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有综合素质培养的课程，符合规定；</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有体现素质拓展的专门课程和教学内容。</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rPr>
                <w:color w:val="auto"/>
                <w:sz w:val="22"/>
                <w:szCs w:val="22"/>
              </w:rPr>
            </w:pPr>
            <w:r>
              <w:rPr>
                <w:color w:val="auto"/>
                <w:spacing w:val="0"/>
                <w:w w:val="100"/>
                <w:position w:val="0"/>
                <w:sz w:val="22"/>
                <w:szCs w:val="22"/>
              </w:rPr>
              <w:t>查专业人才培养方案。</w:t>
            </w:r>
          </w:p>
        </w:tc>
      </w:tr>
      <w:tr>
        <w:tblPrEx>
          <w:tblCellMar>
            <w:top w:w="0" w:type="dxa"/>
            <w:left w:w="10" w:type="dxa"/>
            <w:bottom w:w="0" w:type="dxa"/>
            <w:right w:w="10" w:type="dxa"/>
          </w:tblCellMar>
        </w:tblPrEx>
        <w:trPr>
          <w:trHeight w:val="852" w:hRule="exact"/>
          <w:jc w:val="center"/>
        </w:trPr>
        <w:tc>
          <w:tcPr>
            <w:tcW w:w="696" w:type="dxa"/>
            <w:vMerge w:val="continue"/>
            <w:tcBorders>
              <w:left w:val="single" w:color="auto" w:sz="4" w:space="0"/>
            </w:tcBorders>
            <w:shd w:val="clear" w:color="auto" w:fill="FFFFFF"/>
            <w:vAlign w:val="top"/>
          </w:tcPr>
          <w:p>
            <w:pPr>
              <w:rPr>
                <w:color w:val="auto"/>
                <w:sz w:val="21"/>
                <w:szCs w:val="21"/>
              </w:rPr>
            </w:pPr>
          </w:p>
        </w:tc>
        <w:tc>
          <w:tcPr>
            <w:tcW w:w="1392"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00" w:lineRule="exact"/>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4"/>
                <w:szCs w:val="24"/>
                <w:lang w:val="en-US" w:eastAsia="en-US" w:bidi="en-US"/>
              </w:rPr>
              <w:t>2-10</w:t>
            </w:r>
            <w:r>
              <w:rPr>
                <w:color w:val="auto"/>
                <w:spacing w:val="0"/>
                <w:w w:val="100"/>
                <w:position w:val="0"/>
                <w:sz w:val="22"/>
                <w:szCs w:val="22"/>
              </w:rPr>
              <w:t>专业人 才培养模式</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4"/>
                <w:szCs w:val="24"/>
              </w:rPr>
              <w:t>（3</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center"/>
          </w:tcPr>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提炼专业人才培养模式，并进行诠释；</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人才培养模式符合工学结合。</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rPr>
                <w:color w:val="auto"/>
                <w:sz w:val="22"/>
                <w:szCs w:val="22"/>
              </w:rPr>
            </w:pPr>
            <w:r>
              <w:rPr>
                <w:color w:val="auto"/>
                <w:spacing w:val="0"/>
                <w:w w:val="100"/>
                <w:position w:val="0"/>
                <w:sz w:val="22"/>
                <w:szCs w:val="22"/>
              </w:rPr>
              <w:t>查人才培养模式提炼</w:t>
            </w:r>
          </w:p>
        </w:tc>
      </w:tr>
      <w:tr>
        <w:tblPrEx>
          <w:tblCellMar>
            <w:top w:w="0" w:type="dxa"/>
            <w:left w:w="10" w:type="dxa"/>
            <w:bottom w:w="0" w:type="dxa"/>
            <w:right w:w="10" w:type="dxa"/>
          </w:tblCellMar>
        </w:tblPrEx>
        <w:trPr>
          <w:trHeight w:val="1765" w:hRule="exact"/>
          <w:jc w:val="center"/>
        </w:trPr>
        <w:tc>
          <w:tcPr>
            <w:tcW w:w="696"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82" w:lineRule="exact"/>
              <w:ind w:left="0" w:leftChars="0" w:right="0" w:firstLine="0" w:firstLineChars="0"/>
              <w:jc w:val="left"/>
              <w:rPr>
                <w:color w:val="auto"/>
                <w:sz w:val="22"/>
                <w:szCs w:val="22"/>
              </w:rPr>
            </w:pPr>
            <w:r>
              <w:rPr>
                <w:rFonts w:hint="eastAsia"/>
                <w:color w:val="auto"/>
                <w:spacing w:val="0"/>
                <w:w w:val="100"/>
                <w:position w:val="0"/>
                <w:sz w:val="22"/>
                <w:szCs w:val="22"/>
                <w:lang w:val="en-US" w:eastAsia="zh-CN"/>
              </w:rPr>
              <w:t>三、</w:t>
            </w:r>
            <w:r>
              <w:rPr>
                <w:color w:val="auto"/>
                <w:spacing w:val="0"/>
                <w:w w:val="100"/>
                <w:position w:val="0"/>
                <w:sz w:val="22"/>
                <w:szCs w:val="22"/>
              </w:rPr>
              <w:t>专业 师资 队伍 建设（</w:t>
            </w:r>
            <w:r>
              <w:rPr>
                <w:rFonts w:ascii="Times New Roman" w:hAnsi="Times New Roman" w:eastAsia="Times New Roman" w:cs="Times New Roman"/>
                <w:b/>
                <w:bCs/>
                <w:color w:val="auto"/>
                <w:spacing w:val="0"/>
                <w:w w:val="100"/>
                <w:position w:val="0"/>
                <w:sz w:val="24"/>
                <w:szCs w:val="24"/>
              </w:rPr>
              <w:t xml:space="preserve">20 </w:t>
            </w:r>
            <w:r>
              <w:rPr>
                <w:color w:val="auto"/>
                <w:spacing w:val="0"/>
                <w:w w:val="100"/>
                <w:position w:val="0"/>
                <w:sz w:val="22"/>
                <w:szCs w:val="22"/>
              </w:rPr>
              <w:t>分）</w:t>
            </w:r>
          </w:p>
          <w:p>
            <w:pPr>
              <w:pStyle w:val="19"/>
              <w:keepNext w:val="0"/>
              <w:keepLines w:val="0"/>
              <w:widowControl w:val="0"/>
              <w:shd w:val="clear" w:color="auto" w:fill="auto"/>
              <w:bidi w:val="0"/>
              <w:spacing w:before="0" w:after="0" w:line="300" w:lineRule="exact"/>
              <w:ind w:left="0" w:right="0" w:firstLine="0"/>
              <w:jc w:val="left"/>
              <w:rPr>
                <w:color w:val="auto"/>
                <w:sz w:val="22"/>
                <w:szCs w:val="22"/>
              </w:rPr>
            </w:pP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00" w:lineRule="exact"/>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4"/>
                <w:szCs w:val="24"/>
                <w:lang w:val="zh-CN" w:eastAsia="zh-CN" w:bidi="zh-CN"/>
              </w:rPr>
              <w:t>3-1</w:t>
            </w:r>
            <w:r>
              <w:rPr>
                <w:color w:val="auto"/>
                <w:spacing w:val="0"/>
                <w:w w:val="100"/>
                <w:position w:val="0"/>
                <w:sz w:val="22"/>
                <w:szCs w:val="22"/>
              </w:rPr>
              <w:t>专业教师 师资规划</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4"/>
                <w:szCs w:val="24"/>
              </w:rPr>
              <w:t>（4</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制定专业师资队伍规划和建设计划；</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4"/>
                <w:szCs w:val="24"/>
              </w:rPr>
            </w:pPr>
            <w:r>
              <w:rPr>
                <w:rFonts w:hint="eastAsia"/>
                <w:color w:val="auto"/>
                <w:spacing w:val="0"/>
                <w:w w:val="100"/>
                <w:position w:val="0"/>
                <w:sz w:val="22"/>
                <w:szCs w:val="22"/>
                <w:lang w:val="en-US" w:eastAsia="zh-CN"/>
              </w:rPr>
              <w:t>②</w:t>
            </w:r>
            <w:r>
              <w:rPr>
                <w:color w:val="auto"/>
                <w:spacing w:val="0"/>
                <w:w w:val="100"/>
                <w:position w:val="0"/>
                <w:sz w:val="22"/>
                <w:szCs w:val="22"/>
              </w:rPr>
              <w:t>高级职称比例达到</w:t>
            </w:r>
            <w:r>
              <w:rPr>
                <w:rFonts w:ascii="Times New Roman" w:hAnsi="Times New Roman" w:eastAsia="Times New Roman" w:cs="Times New Roman"/>
                <w:b/>
                <w:bCs/>
                <w:color w:val="auto"/>
                <w:spacing w:val="0"/>
                <w:w w:val="100"/>
                <w:position w:val="0"/>
                <w:sz w:val="24"/>
                <w:szCs w:val="24"/>
              </w:rPr>
              <w:t>30%,</w:t>
            </w:r>
            <w:r>
              <w:rPr>
                <w:color w:val="auto"/>
                <w:spacing w:val="0"/>
                <w:w w:val="100"/>
                <w:position w:val="0"/>
                <w:sz w:val="22"/>
                <w:szCs w:val="22"/>
              </w:rPr>
              <w:t>中级职称比例达</w:t>
            </w:r>
            <w:r>
              <w:rPr>
                <w:rFonts w:ascii="Times New Roman" w:hAnsi="Times New Roman" w:eastAsia="Times New Roman" w:cs="Times New Roman"/>
                <w:b/>
                <w:bCs/>
                <w:color w:val="auto"/>
                <w:spacing w:val="0"/>
                <w:w w:val="100"/>
                <w:position w:val="0"/>
                <w:sz w:val="24"/>
                <w:szCs w:val="24"/>
              </w:rPr>
              <w:t>50%;</w:t>
            </w: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color w:val="auto"/>
                <w:sz w:val="24"/>
                <w:szCs w:val="24"/>
              </w:rPr>
            </w:pPr>
            <w:r>
              <w:rPr>
                <w:rFonts w:hint="eastAsia"/>
                <w:color w:val="auto"/>
                <w:spacing w:val="0"/>
                <w:w w:val="100"/>
                <w:position w:val="0"/>
                <w:sz w:val="22"/>
                <w:szCs w:val="22"/>
                <w:lang w:val="en-US" w:eastAsia="zh-CN"/>
              </w:rPr>
              <w:t>③</w:t>
            </w:r>
            <w:r>
              <w:rPr>
                <w:color w:val="auto"/>
                <w:spacing w:val="0"/>
                <w:w w:val="100"/>
                <w:position w:val="0"/>
                <w:sz w:val="22"/>
                <w:szCs w:val="22"/>
              </w:rPr>
              <w:t>双师素质教师比例达</w:t>
            </w:r>
            <w:r>
              <w:rPr>
                <w:rFonts w:ascii="Times New Roman" w:hAnsi="Times New Roman" w:eastAsia="Times New Roman" w:cs="Times New Roman"/>
                <w:b/>
                <w:bCs/>
                <w:color w:val="auto"/>
                <w:spacing w:val="0"/>
                <w:w w:val="100"/>
                <w:position w:val="0"/>
                <w:sz w:val="24"/>
                <w:szCs w:val="24"/>
              </w:rPr>
              <w:t>70%;</w:t>
            </w:r>
          </w:p>
          <w:p>
            <w:pPr>
              <w:pStyle w:val="19"/>
              <w:keepNext w:val="0"/>
              <w:keepLines w:val="0"/>
              <w:widowControl w:val="0"/>
              <w:numPr>
                <w:ilvl w:val="0"/>
                <w:numId w:val="0"/>
              </w:numPr>
              <w:shd w:val="clear" w:color="auto" w:fill="auto"/>
              <w:tabs>
                <w:tab w:val="left" w:pos="216"/>
              </w:tabs>
              <w:bidi w:val="0"/>
              <w:spacing w:before="0" w:after="0" w:line="288" w:lineRule="exact"/>
              <w:ind w:leftChars="0" w:right="0" w:rightChars="0"/>
              <w:jc w:val="left"/>
              <w:rPr>
                <w:color w:val="auto"/>
                <w:sz w:val="24"/>
                <w:szCs w:val="24"/>
              </w:rPr>
            </w:pPr>
            <w:r>
              <w:rPr>
                <w:rFonts w:hint="eastAsia"/>
                <w:color w:val="auto"/>
                <w:spacing w:val="0"/>
                <w:w w:val="100"/>
                <w:position w:val="0"/>
                <w:sz w:val="22"/>
                <w:szCs w:val="22"/>
                <w:lang w:val="en-US" w:eastAsia="zh-CN"/>
              </w:rPr>
              <w:t>④</w:t>
            </w:r>
            <w:r>
              <w:rPr>
                <w:color w:val="auto"/>
                <w:spacing w:val="0"/>
                <w:w w:val="100"/>
                <w:position w:val="0"/>
                <w:sz w:val="22"/>
                <w:szCs w:val="22"/>
              </w:rPr>
              <w:t>教师全部达本科以上学历，</w:t>
            </w:r>
            <w:r>
              <w:rPr>
                <w:rFonts w:ascii="Times New Roman" w:hAnsi="Times New Roman" w:eastAsia="Times New Roman" w:cs="Times New Roman"/>
                <w:b/>
                <w:bCs/>
                <w:color w:val="auto"/>
                <w:spacing w:val="0"/>
                <w:w w:val="100"/>
                <w:position w:val="0"/>
                <w:sz w:val="24"/>
                <w:szCs w:val="24"/>
              </w:rPr>
              <w:t>45</w:t>
            </w:r>
            <w:r>
              <w:rPr>
                <w:color w:val="auto"/>
                <w:spacing w:val="0"/>
                <w:w w:val="100"/>
                <w:position w:val="0"/>
                <w:sz w:val="22"/>
                <w:szCs w:val="22"/>
              </w:rPr>
              <w:t>岁以下教师研究生学历及硕士学位 比例达</w:t>
            </w:r>
            <w:r>
              <w:rPr>
                <w:rFonts w:ascii="Times New Roman" w:hAnsi="Times New Roman" w:eastAsia="Times New Roman" w:cs="Times New Roman"/>
                <w:b/>
                <w:bCs/>
                <w:color w:val="auto"/>
                <w:spacing w:val="0"/>
                <w:w w:val="100"/>
                <w:position w:val="0"/>
                <w:sz w:val="24"/>
                <w:szCs w:val="24"/>
              </w:rPr>
              <w:t>35%;</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⑤</w:t>
            </w:r>
            <w:r>
              <w:rPr>
                <w:color w:val="auto"/>
                <w:spacing w:val="0"/>
                <w:w w:val="100"/>
                <w:position w:val="0"/>
                <w:sz w:val="22"/>
                <w:szCs w:val="22"/>
              </w:rPr>
              <w:t>兼职教师占专业教师总数的</w:t>
            </w:r>
            <w:r>
              <w:rPr>
                <w:rFonts w:ascii="Times New Roman" w:hAnsi="Times New Roman" w:eastAsia="Times New Roman" w:cs="Times New Roman"/>
                <w:b/>
                <w:bCs/>
                <w:color w:val="auto"/>
                <w:spacing w:val="0"/>
                <w:w w:val="100"/>
                <w:position w:val="0"/>
                <w:sz w:val="24"/>
                <w:szCs w:val="24"/>
              </w:rPr>
              <w:t>20%—30%</w:t>
            </w:r>
            <w:r>
              <w:rPr>
                <w:color w:val="auto"/>
                <w:spacing w:val="0"/>
                <w:w w:val="100"/>
                <w:position w:val="0"/>
                <w:sz w:val="22"/>
                <w:szCs w:val="22"/>
              </w:rPr>
              <w:t>。</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2"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查专业教师名册（校内专任教 师基本情况、校外兼职教师基本 情况表）；</w:t>
            </w:r>
          </w:p>
          <w:p>
            <w:pPr>
              <w:pStyle w:val="19"/>
              <w:keepNext w:val="0"/>
              <w:keepLines w:val="0"/>
              <w:widowControl w:val="0"/>
              <w:numPr>
                <w:ilvl w:val="0"/>
                <w:numId w:val="0"/>
              </w:numPr>
              <w:shd w:val="clear" w:color="auto" w:fill="auto"/>
              <w:tabs>
                <w:tab w:val="left" w:pos="204"/>
              </w:tabs>
              <w:bidi w:val="0"/>
              <w:spacing w:before="0" w:after="0" w:line="282"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查相关证书。</w:t>
            </w:r>
          </w:p>
        </w:tc>
      </w:tr>
      <w:tr>
        <w:tblPrEx>
          <w:tblCellMar>
            <w:top w:w="0" w:type="dxa"/>
            <w:left w:w="10" w:type="dxa"/>
            <w:bottom w:w="0" w:type="dxa"/>
            <w:right w:w="10" w:type="dxa"/>
          </w:tblCellMar>
        </w:tblPrEx>
        <w:trPr>
          <w:trHeight w:val="1211" w:hRule="exact"/>
          <w:jc w:val="center"/>
        </w:trPr>
        <w:tc>
          <w:tcPr>
            <w:tcW w:w="696" w:type="dxa"/>
            <w:vMerge w:val="continue"/>
            <w:tcBorders>
              <w:left w:val="single" w:color="auto" w:sz="4" w:space="0"/>
            </w:tcBorders>
            <w:shd w:val="clear" w:color="auto" w:fill="FFFFFF"/>
            <w:vAlign w:val="center"/>
          </w:tcPr>
          <w:p>
            <w:pPr>
              <w:rPr>
                <w:color w:val="auto"/>
                <w:sz w:val="21"/>
                <w:szCs w:val="21"/>
              </w:rPr>
            </w:pP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4"/>
                <w:szCs w:val="24"/>
              </w:rPr>
              <w:t>3-2</w:t>
            </w:r>
            <w:r>
              <w:rPr>
                <w:color w:val="auto"/>
                <w:spacing w:val="0"/>
                <w:w w:val="100"/>
                <w:position w:val="0"/>
                <w:sz w:val="22"/>
                <w:szCs w:val="22"/>
              </w:rPr>
              <w:t>专业带头 人培养</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4"/>
                <w:szCs w:val="24"/>
              </w:rPr>
              <w:t>（4</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有科学详细的专业带头人培养规划，并逐年实施；</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专业带头人培养措施具体，有检查，有总结；</w:t>
            </w: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被培养的专业带头人业绩显著；在教学、培训、教科研等方面 具有带头作用</w:t>
            </w:r>
            <w:r>
              <w:rPr>
                <w:color w:val="auto"/>
                <w:spacing w:val="0"/>
                <w:w w:val="100"/>
                <w:position w:val="0"/>
                <w:sz w:val="22"/>
                <w:szCs w:val="22"/>
                <w:lang w:val="en-US" w:eastAsia="en-US" w:bidi="en-US"/>
              </w:rPr>
              <w:t>•</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查三年专业带头人培养规划；</w:t>
            </w:r>
          </w:p>
          <w:p>
            <w:pPr>
              <w:pStyle w:val="19"/>
              <w:keepNext w:val="0"/>
              <w:keepLines w:val="0"/>
              <w:widowControl w:val="0"/>
              <w:numPr>
                <w:ilvl w:val="0"/>
                <w:numId w:val="0"/>
              </w:numPr>
              <w:shd w:val="clear" w:color="auto" w:fill="auto"/>
              <w:tabs>
                <w:tab w:val="left" w:pos="216"/>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查专业带头人培养计划、总 年；</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毎专业带头人考核表。</w:t>
            </w:r>
          </w:p>
        </w:tc>
      </w:tr>
      <w:tr>
        <w:tblPrEx>
          <w:tblCellMar>
            <w:top w:w="0" w:type="dxa"/>
            <w:left w:w="10" w:type="dxa"/>
            <w:bottom w:w="0" w:type="dxa"/>
            <w:right w:w="10" w:type="dxa"/>
          </w:tblCellMar>
        </w:tblPrEx>
        <w:trPr>
          <w:trHeight w:val="1211" w:hRule="exact"/>
          <w:jc w:val="center"/>
        </w:trPr>
        <w:tc>
          <w:tcPr>
            <w:tcW w:w="696" w:type="dxa"/>
            <w:vMerge w:val="continue"/>
            <w:tcBorders>
              <w:left w:val="single" w:color="auto" w:sz="4" w:space="0"/>
            </w:tcBorders>
            <w:shd w:val="clear" w:color="auto" w:fill="FFFFFF"/>
            <w:vAlign w:val="center"/>
          </w:tcPr>
          <w:p>
            <w:pPr>
              <w:rPr>
                <w:color w:val="auto"/>
                <w:sz w:val="21"/>
                <w:szCs w:val="21"/>
              </w:rPr>
            </w:pP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4"/>
                <w:szCs w:val="24"/>
              </w:rPr>
              <w:t>3-3</w:t>
            </w:r>
            <w:r>
              <w:rPr>
                <w:color w:val="auto"/>
                <w:spacing w:val="0"/>
                <w:w w:val="100"/>
                <w:position w:val="0"/>
                <w:sz w:val="22"/>
                <w:szCs w:val="22"/>
              </w:rPr>
              <w:t>骨千教师 培养</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4"/>
                <w:szCs w:val="24"/>
              </w:rPr>
              <w:t>（4</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center"/>
          </w:tcPr>
          <w:p>
            <w:pPr>
              <w:pStyle w:val="19"/>
              <w:keepNext w:val="0"/>
              <w:keepLines w:val="0"/>
              <w:widowControl w:val="0"/>
              <w:numPr>
                <w:ilvl w:val="0"/>
                <w:numId w:val="0"/>
              </w:numPr>
              <w:shd w:val="clear" w:color="auto" w:fill="auto"/>
              <w:tabs>
                <w:tab w:val="left" w:pos="19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有科学详细的骨干教师培养规划，并逐年实施；</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骨干教师培养措施具体，有检查，有总结；</w:t>
            </w:r>
          </w:p>
          <w:p>
            <w:pPr>
              <w:pStyle w:val="19"/>
              <w:keepNext w:val="0"/>
              <w:keepLines w:val="0"/>
              <w:widowControl w:val="0"/>
              <w:numPr>
                <w:ilvl w:val="0"/>
                <w:numId w:val="0"/>
              </w:numPr>
              <w:shd w:val="clear" w:color="auto" w:fill="auto"/>
              <w:tabs>
                <w:tab w:val="left" w:pos="19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被培养的骨干教师；在教学、培训、科研等方面业绩显著。</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16"/>
              </w:tabs>
              <w:bidi w:val="0"/>
              <w:spacing w:before="0" w:after="0" w:line="300"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查三年专业骨干教师培养规 划；</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②查</w:t>
            </w:r>
            <w:r>
              <w:rPr>
                <w:color w:val="auto"/>
                <w:spacing w:val="0"/>
                <w:w w:val="100"/>
                <w:position w:val="0"/>
                <w:sz w:val="22"/>
                <w:szCs w:val="22"/>
              </w:rPr>
              <w:t>骨干教师培养计划、总结；</w:t>
            </w:r>
          </w:p>
          <w:p>
            <w:pPr>
              <w:pStyle w:val="19"/>
              <w:keepNext w:val="0"/>
              <w:keepLines w:val="0"/>
              <w:widowControl w:val="0"/>
              <w:numPr>
                <w:ilvl w:val="0"/>
                <w:numId w:val="0"/>
              </w:numPr>
              <w:shd w:val="clear" w:color="auto" w:fill="auto"/>
              <w:tabs>
                <w:tab w:val="left" w:pos="204"/>
              </w:tabs>
              <w:bidi w:val="0"/>
              <w:spacing w:before="0" w:after="0" w:line="300" w:lineRule="exact"/>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查骨干教师考核表。</w:t>
            </w:r>
          </w:p>
        </w:tc>
      </w:tr>
      <w:tr>
        <w:tblPrEx>
          <w:tblCellMar>
            <w:top w:w="0" w:type="dxa"/>
            <w:left w:w="10" w:type="dxa"/>
            <w:bottom w:w="0" w:type="dxa"/>
            <w:right w:w="10" w:type="dxa"/>
          </w:tblCellMar>
        </w:tblPrEx>
        <w:trPr>
          <w:trHeight w:val="1128" w:hRule="exact"/>
          <w:jc w:val="center"/>
        </w:trPr>
        <w:tc>
          <w:tcPr>
            <w:tcW w:w="696" w:type="dxa"/>
            <w:vMerge w:val="continue"/>
            <w:tcBorders>
              <w:left w:val="single" w:color="auto" w:sz="4" w:space="0"/>
            </w:tcBorders>
            <w:shd w:val="clear" w:color="auto" w:fill="FFFFFF"/>
            <w:vAlign w:val="center"/>
          </w:tcPr>
          <w:p>
            <w:pPr>
              <w:rPr>
                <w:color w:val="auto"/>
                <w:sz w:val="21"/>
                <w:szCs w:val="21"/>
              </w:rPr>
            </w:pP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24" w:lineRule="exact"/>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4"/>
                <w:szCs w:val="24"/>
              </w:rPr>
              <w:t>3-4</w:t>
            </w:r>
            <w:r>
              <w:rPr>
                <w:color w:val="auto"/>
                <w:spacing w:val="0"/>
                <w:w w:val="100"/>
                <w:position w:val="0"/>
                <w:sz w:val="22"/>
                <w:szCs w:val="22"/>
              </w:rPr>
              <w:t>双师教师 培养</w:t>
            </w:r>
            <w:r>
              <w:rPr>
                <w:rFonts w:hint="eastAsia"/>
                <w:color w:val="auto"/>
                <w:spacing w:val="0"/>
                <w:w w:val="100"/>
                <w:position w:val="0"/>
                <w:sz w:val="22"/>
                <w:szCs w:val="22"/>
                <w:lang w:eastAsia="zh-CN"/>
              </w:rPr>
              <w:t>（</w:t>
            </w:r>
            <w:r>
              <w:rPr>
                <w:rFonts w:ascii="Times New Roman" w:hAnsi="Times New Roman" w:eastAsia="Times New Roman" w:cs="Times New Roman"/>
                <w:b/>
                <w:bCs/>
                <w:color w:val="auto"/>
                <w:spacing w:val="0"/>
                <w:w w:val="100"/>
                <w:position w:val="0"/>
                <w:sz w:val="24"/>
                <w:szCs w:val="24"/>
              </w:rPr>
              <w:t>4</w:t>
            </w:r>
            <w:r>
              <w:rPr>
                <w:color w:val="auto"/>
                <w:spacing w:val="0"/>
                <w:w w:val="100"/>
                <w:position w:val="0"/>
                <w:sz w:val="22"/>
                <w:szCs w:val="22"/>
              </w:rPr>
              <w:t>分）</w:t>
            </w:r>
          </w:p>
          <w:p>
            <w:pPr>
              <w:pStyle w:val="19"/>
              <w:keepNext w:val="0"/>
              <w:keepLines w:val="0"/>
              <w:widowControl w:val="0"/>
              <w:shd w:val="clear" w:color="auto" w:fill="auto"/>
              <w:bidi w:val="0"/>
              <w:spacing w:before="0" w:after="0" w:line="240" w:lineRule="auto"/>
              <w:ind w:left="0" w:right="0" w:firstLine="0"/>
              <w:jc w:val="left"/>
              <w:rPr>
                <w:color w:val="auto"/>
                <w:sz w:val="22"/>
                <w:szCs w:val="22"/>
              </w:rPr>
            </w:pPr>
          </w:p>
        </w:tc>
        <w:tc>
          <w:tcPr>
            <w:tcW w:w="6120" w:type="dxa"/>
            <w:tcBorders>
              <w:top w:val="single" w:color="auto" w:sz="4" w:space="0"/>
              <w:left w:val="single" w:color="auto" w:sz="4" w:space="0"/>
            </w:tcBorders>
            <w:shd w:val="clear" w:color="auto" w:fill="FFFFFF"/>
            <w:vAlign w:val="center"/>
          </w:tcPr>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有科学详细的双师教师培养规划，并逐年实施；</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被培养教师参与生产实际工作时间每年在一个月以上；</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通过双师教师认证，在教学中发挥作用。</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216"/>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查三年专业双师素质教师培 养规划；</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查下现场学习情况、总结；</w:t>
            </w:r>
          </w:p>
          <w:p>
            <w:pPr>
              <w:pStyle w:val="19"/>
              <w:keepNext w:val="0"/>
              <w:keepLines w:val="0"/>
              <w:widowControl w:val="0"/>
              <w:numPr>
                <w:ilvl w:val="0"/>
                <w:numId w:val="0"/>
              </w:numPr>
              <w:shd w:val="clear" w:color="auto" w:fill="auto"/>
              <w:tabs>
                <w:tab w:val="left" w:pos="216"/>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查获得相应证书。</w:t>
            </w:r>
          </w:p>
        </w:tc>
      </w:tr>
      <w:tr>
        <w:tblPrEx>
          <w:tblCellMar>
            <w:top w:w="0" w:type="dxa"/>
            <w:left w:w="10" w:type="dxa"/>
            <w:bottom w:w="0" w:type="dxa"/>
            <w:right w:w="10" w:type="dxa"/>
          </w:tblCellMar>
        </w:tblPrEx>
        <w:trPr>
          <w:trHeight w:val="300" w:hRule="exact"/>
          <w:jc w:val="center"/>
        </w:trPr>
        <w:tc>
          <w:tcPr>
            <w:tcW w:w="696" w:type="dxa"/>
            <w:vMerge w:val="continue"/>
            <w:tcBorders>
              <w:left w:val="single" w:color="auto" w:sz="4" w:space="0"/>
            </w:tcBorders>
            <w:shd w:val="clear" w:color="auto" w:fill="FFFFFF"/>
            <w:vAlign w:val="center"/>
          </w:tcPr>
          <w:p>
            <w:pPr>
              <w:rPr>
                <w:color w:val="auto"/>
                <w:sz w:val="21"/>
                <w:szCs w:val="21"/>
              </w:rPr>
            </w:pPr>
          </w:p>
        </w:tc>
        <w:tc>
          <w:tcPr>
            <w:tcW w:w="1392" w:type="dxa"/>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rPr>
                <w:color w:val="auto"/>
                <w:sz w:val="22"/>
                <w:szCs w:val="22"/>
              </w:rPr>
            </w:pPr>
            <w:r>
              <w:rPr>
                <w:rFonts w:ascii="Times New Roman" w:hAnsi="Times New Roman" w:eastAsia="Times New Roman" w:cs="Times New Roman"/>
                <w:b/>
                <w:bCs/>
                <w:color w:val="auto"/>
                <w:spacing w:val="0"/>
                <w:w w:val="100"/>
                <w:position w:val="0"/>
                <w:sz w:val="24"/>
                <w:szCs w:val="24"/>
                <w:lang w:val="en-US" w:eastAsia="en-US" w:bidi="en-US"/>
              </w:rPr>
              <w:t>3-5</w:t>
            </w:r>
            <w:r>
              <w:rPr>
                <w:color w:val="auto"/>
                <w:spacing w:val="0"/>
                <w:w w:val="100"/>
                <w:position w:val="0"/>
                <w:sz w:val="22"/>
                <w:szCs w:val="22"/>
              </w:rPr>
              <w:t>兼职教师</w:t>
            </w:r>
          </w:p>
        </w:tc>
        <w:tc>
          <w:tcPr>
            <w:tcW w:w="6120" w:type="dxa"/>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rPr>
                <w:color w:val="auto"/>
                <w:sz w:val="22"/>
                <w:szCs w:val="22"/>
              </w:rPr>
            </w:pPr>
            <w:r>
              <w:rPr>
                <w:color w:val="auto"/>
                <w:spacing w:val="0"/>
                <w:w w:val="100"/>
                <w:position w:val="0"/>
                <w:sz w:val="22"/>
                <w:szCs w:val="22"/>
              </w:rPr>
              <w:t>①兼职教师来源、数量稳定，生产经验丰富，学术水平高；</w:t>
            </w:r>
          </w:p>
        </w:tc>
        <w:tc>
          <w:tcPr>
            <w:tcW w:w="2520" w:type="dxa"/>
            <w:tcBorders>
              <w:top w:val="single" w:color="auto" w:sz="4" w:space="0"/>
              <w:left w:val="single" w:color="auto" w:sz="4" w:space="0"/>
              <w:bottom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bottom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bottom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rPr>
                <w:color w:val="auto"/>
                <w:sz w:val="22"/>
                <w:szCs w:val="22"/>
              </w:rPr>
            </w:pPr>
            <w:r>
              <w:rPr>
                <w:color w:val="auto"/>
                <w:spacing w:val="0"/>
                <w:w w:val="100"/>
                <w:position w:val="0"/>
                <w:sz w:val="22"/>
                <w:szCs w:val="22"/>
              </w:rPr>
              <w:t>①查兼职教师信息库；</w:t>
            </w:r>
          </w:p>
        </w:tc>
      </w:tr>
      <w:tr>
        <w:tblPrEx>
          <w:tblCellMar>
            <w:top w:w="0" w:type="dxa"/>
            <w:left w:w="10" w:type="dxa"/>
            <w:bottom w:w="0" w:type="dxa"/>
            <w:right w:w="10" w:type="dxa"/>
          </w:tblCellMar>
        </w:tblPrEx>
        <w:trPr>
          <w:trHeight w:val="408" w:hRule="exact"/>
          <w:jc w:val="center"/>
        </w:trPr>
        <w:tc>
          <w:tcPr>
            <w:tcW w:w="2088" w:type="dxa"/>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评审指标</w:t>
            </w:r>
          </w:p>
        </w:tc>
        <w:tc>
          <w:tcPr>
            <w:tcW w:w="6120"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评分标准要求</w:t>
            </w:r>
          </w:p>
        </w:tc>
        <w:tc>
          <w:tcPr>
            <w:tcW w:w="2520"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依据</w:t>
            </w:r>
          </w:p>
        </w:tc>
        <w:tc>
          <w:tcPr>
            <w:tcW w:w="720"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得分</w:t>
            </w:r>
          </w:p>
        </w:tc>
        <w:tc>
          <w:tcPr>
            <w:tcW w:w="3108" w:type="dxa"/>
            <w:vMerge w:val="restart"/>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考察方式</w:t>
            </w:r>
          </w:p>
        </w:tc>
      </w:tr>
      <w:tr>
        <w:tblPrEx>
          <w:tblCellMar>
            <w:top w:w="0" w:type="dxa"/>
            <w:left w:w="10" w:type="dxa"/>
            <w:bottom w:w="0" w:type="dxa"/>
            <w:right w:w="10" w:type="dxa"/>
          </w:tblCellMar>
        </w:tblPrEx>
        <w:trPr>
          <w:trHeight w:val="576" w:hRule="exact"/>
          <w:jc w:val="center"/>
        </w:trPr>
        <w:tc>
          <w:tcPr>
            <w:tcW w:w="69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88" w:lineRule="exact"/>
              <w:ind w:left="0" w:right="0" w:firstLine="0"/>
              <w:jc w:val="left"/>
              <w:rPr>
                <w:color w:val="auto"/>
                <w:sz w:val="22"/>
                <w:szCs w:val="22"/>
              </w:rPr>
            </w:pPr>
            <w:r>
              <w:rPr>
                <w:color w:val="auto"/>
                <w:spacing w:val="0"/>
                <w:w w:val="100"/>
                <w:position w:val="0"/>
                <w:sz w:val="22"/>
                <w:szCs w:val="22"/>
              </w:rPr>
              <w:t>一级 指标</w:t>
            </w: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二级指标</w:t>
            </w:r>
          </w:p>
        </w:tc>
        <w:tc>
          <w:tcPr>
            <w:tcW w:w="6120" w:type="dxa"/>
            <w:vMerge w:val="continue"/>
            <w:tcBorders>
              <w:left w:val="single" w:color="auto" w:sz="4" w:space="0"/>
            </w:tcBorders>
            <w:shd w:val="clear" w:color="auto" w:fill="FFFFFF"/>
            <w:vAlign w:val="center"/>
          </w:tcPr>
          <w:p>
            <w:pPr>
              <w:rPr>
                <w:color w:val="auto"/>
                <w:sz w:val="21"/>
                <w:szCs w:val="21"/>
              </w:rPr>
            </w:pPr>
          </w:p>
        </w:tc>
        <w:tc>
          <w:tcPr>
            <w:tcW w:w="2520" w:type="dxa"/>
            <w:vMerge w:val="continue"/>
            <w:tcBorders>
              <w:left w:val="single" w:color="auto" w:sz="4" w:space="0"/>
            </w:tcBorders>
            <w:shd w:val="clear" w:color="auto" w:fill="FFFFFF"/>
            <w:vAlign w:val="center"/>
          </w:tcPr>
          <w:p>
            <w:pPr>
              <w:rPr>
                <w:color w:val="auto"/>
                <w:sz w:val="21"/>
                <w:szCs w:val="21"/>
              </w:rPr>
            </w:pPr>
          </w:p>
        </w:tc>
        <w:tc>
          <w:tcPr>
            <w:tcW w:w="720" w:type="dxa"/>
            <w:vMerge w:val="continue"/>
            <w:tcBorders>
              <w:left w:val="single" w:color="auto" w:sz="4" w:space="0"/>
            </w:tcBorders>
            <w:shd w:val="clear" w:color="auto" w:fill="FFFFFF"/>
            <w:vAlign w:val="center"/>
          </w:tcPr>
          <w:p>
            <w:pPr>
              <w:rPr>
                <w:color w:val="auto"/>
                <w:sz w:val="21"/>
                <w:szCs w:val="21"/>
              </w:rPr>
            </w:pPr>
          </w:p>
        </w:tc>
        <w:tc>
          <w:tcPr>
            <w:tcW w:w="3108" w:type="dxa"/>
            <w:vMerge w:val="continue"/>
            <w:tcBorders>
              <w:left w:val="single" w:color="auto" w:sz="4" w:space="0"/>
              <w:right w:val="single" w:color="auto" w:sz="4" w:space="0"/>
            </w:tcBorders>
            <w:shd w:val="clear" w:color="auto" w:fill="FFFFFF"/>
            <w:vAlign w:val="center"/>
          </w:tcPr>
          <w:p>
            <w:pPr>
              <w:rPr>
                <w:color w:val="auto"/>
                <w:sz w:val="21"/>
                <w:szCs w:val="21"/>
              </w:rPr>
            </w:pPr>
          </w:p>
        </w:tc>
      </w:tr>
      <w:tr>
        <w:tblPrEx>
          <w:tblCellMar>
            <w:top w:w="0" w:type="dxa"/>
            <w:left w:w="10" w:type="dxa"/>
            <w:bottom w:w="0" w:type="dxa"/>
            <w:right w:w="10" w:type="dxa"/>
          </w:tblCellMar>
        </w:tblPrEx>
        <w:trPr>
          <w:trHeight w:val="949" w:hRule="exact"/>
          <w:jc w:val="center"/>
        </w:trPr>
        <w:tc>
          <w:tcPr>
            <w:tcW w:w="696" w:type="dxa"/>
            <w:tcBorders>
              <w:top w:val="single" w:color="auto" w:sz="4" w:space="0"/>
              <w:left w:val="single" w:color="auto" w:sz="4" w:space="0"/>
            </w:tcBorders>
            <w:shd w:val="clear" w:color="auto" w:fill="FFFFFF"/>
            <w:vAlign w:val="top"/>
          </w:tcPr>
          <w:p>
            <w:pPr>
              <w:widowControl w:val="0"/>
              <w:rPr>
                <w:color w:val="auto"/>
                <w:sz w:val="6"/>
                <w:szCs w:val="6"/>
              </w:rPr>
            </w:pPr>
          </w:p>
        </w:tc>
        <w:tc>
          <w:tcPr>
            <w:tcW w:w="1392" w:type="dxa"/>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312" w:lineRule="exact"/>
              <w:ind w:left="0" w:right="0" w:firstLine="0"/>
              <w:jc w:val="left"/>
              <w:rPr>
                <w:rFonts w:hint="eastAsia" w:eastAsia="宋体"/>
                <w:color w:val="auto"/>
                <w:sz w:val="22"/>
                <w:szCs w:val="22"/>
                <w:lang w:val="en-US" w:eastAsia="zh-CN"/>
              </w:rPr>
            </w:pPr>
            <w:r>
              <w:rPr>
                <w:rFonts w:hint="eastAsia"/>
                <w:color w:val="auto"/>
                <w:spacing w:val="0"/>
                <w:w w:val="100"/>
                <w:position w:val="0"/>
                <w:sz w:val="22"/>
                <w:szCs w:val="22"/>
                <w:lang w:val="en-US" w:eastAsia="zh-CN"/>
              </w:rPr>
              <w:t xml:space="preserve">队伍建设 </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2"/>
                <w:szCs w:val="22"/>
              </w:rPr>
              <w:t>（</w:t>
            </w:r>
            <w:r>
              <w:rPr>
                <w:rFonts w:hint="eastAsia" w:ascii="Times New Roman" w:hAnsi="Times New Roman" w:cs="Times New Roman"/>
                <w:b/>
                <w:bCs/>
                <w:color w:val="auto"/>
                <w:spacing w:val="0"/>
                <w:w w:val="100"/>
                <w:position w:val="0"/>
                <w:sz w:val="22"/>
                <w:szCs w:val="22"/>
                <w:lang w:val="en-US" w:eastAsia="zh-CN"/>
              </w:rPr>
              <w:t>4</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②建立了兼职教师信息库</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16"/>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③兼职教师积极参与教学建设与改革</w:t>
            </w:r>
            <w:r>
              <w:rPr>
                <w:color w:val="auto"/>
                <w:spacing w:val="0"/>
                <w:w w:val="100"/>
                <w:position w:val="0"/>
                <w:sz w:val="22"/>
                <w:szCs w:val="22"/>
              </w:rPr>
              <w:t>；</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5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w:t>
            </w:r>
            <w:r>
              <w:rPr>
                <w:rFonts w:hint="eastAsia"/>
                <w:color w:val="auto"/>
                <w:spacing w:val="0"/>
                <w:w w:val="100"/>
                <w:position w:val="0"/>
                <w:sz w:val="22"/>
                <w:szCs w:val="22"/>
                <w:lang w:val="en-US" w:eastAsia="zh-CN"/>
              </w:rPr>
              <w:t>教职教师参与教学改革的项目</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5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查</w:t>
            </w:r>
            <w:r>
              <w:rPr>
                <w:rFonts w:hint="eastAsia"/>
                <w:color w:val="auto"/>
                <w:spacing w:val="0"/>
                <w:w w:val="100"/>
                <w:position w:val="0"/>
                <w:sz w:val="22"/>
                <w:szCs w:val="22"/>
                <w:lang w:val="en-US" w:eastAsia="zh-CN"/>
              </w:rPr>
              <w:t>兼职教师工作情况分析</w:t>
            </w:r>
            <w:r>
              <w:rPr>
                <w:color w:val="auto"/>
                <w:spacing w:val="0"/>
                <w:w w:val="100"/>
                <w:position w:val="0"/>
                <w:sz w:val="22"/>
                <w:szCs w:val="22"/>
                <w:lang w:val="en-US" w:eastAsia="en-US" w:bidi="en-US"/>
              </w:rPr>
              <w:t>•</w:t>
            </w:r>
          </w:p>
        </w:tc>
      </w:tr>
      <w:tr>
        <w:tblPrEx>
          <w:tblCellMar>
            <w:top w:w="0" w:type="dxa"/>
            <w:left w:w="10" w:type="dxa"/>
            <w:bottom w:w="0" w:type="dxa"/>
            <w:right w:w="10" w:type="dxa"/>
          </w:tblCellMar>
        </w:tblPrEx>
        <w:trPr>
          <w:trHeight w:val="3532" w:hRule="exact"/>
          <w:jc w:val="center"/>
        </w:trPr>
        <w:tc>
          <w:tcPr>
            <w:tcW w:w="696"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82" w:lineRule="exact"/>
              <w:ind w:left="0" w:leftChars="0" w:right="0" w:firstLine="0" w:firstLineChars="0"/>
              <w:jc w:val="left"/>
              <w:rPr>
                <w:color w:val="auto"/>
                <w:sz w:val="22"/>
                <w:szCs w:val="22"/>
              </w:rPr>
            </w:pPr>
            <w:r>
              <w:rPr>
                <w:rFonts w:hint="eastAsia"/>
                <w:color w:val="auto"/>
                <w:spacing w:val="0"/>
                <w:w w:val="100"/>
                <w:position w:val="0"/>
                <w:sz w:val="22"/>
                <w:szCs w:val="22"/>
                <w:lang w:val="en-US" w:eastAsia="zh-CN"/>
              </w:rPr>
              <w:t>四、实践教学条件建设</w:t>
            </w:r>
            <w:r>
              <w:rPr>
                <w:color w:val="auto"/>
                <w:spacing w:val="0"/>
                <w:w w:val="100"/>
                <w:position w:val="0"/>
                <w:sz w:val="22"/>
                <w:szCs w:val="22"/>
              </w:rPr>
              <w:t>（</w:t>
            </w:r>
            <w:r>
              <w:rPr>
                <w:rFonts w:hint="eastAsia"/>
                <w:color w:val="auto"/>
                <w:spacing w:val="0"/>
                <w:w w:val="100"/>
                <w:position w:val="0"/>
                <w:sz w:val="22"/>
                <w:szCs w:val="22"/>
                <w:lang w:val="en-US" w:eastAsia="zh-CN"/>
              </w:rPr>
              <w:t>15</w:t>
            </w:r>
            <w:r>
              <w:rPr>
                <w:color w:val="auto"/>
                <w:spacing w:val="0"/>
                <w:w w:val="100"/>
                <w:position w:val="0"/>
                <w:sz w:val="22"/>
                <w:szCs w:val="22"/>
              </w:rPr>
              <w:t>分）</w:t>
            </w:r>
          </w:p>
          <w:p>
            <w:pPr>
              <w:pStyle w:val="19"/>
              <w:keepNext w:val="0"/>
              <w:keepLines w:val="0"/>
              <w:widowControl w:val="0"/>
              <w:shd w:val="clear" w:color="auto" w:fill="auto"/>
              <w:bidi w:val="0"/>
              <w:spacing w:before="0" w:after="0" w:line="300" w:lineRule="exact"/>
              <w:ind w:left="0" w:right="0" w:firstLine="0"/>
              <w:jc w:val="left"/>
              <w:rPr>
                <w:color w:val="auto"/>
                <w:sz w:val="22"/>
                <w:szCs w:val="22"/>
              </w:rPr>
            </w:pP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00" w:lineRule="exact"/>
              <w:ind w:left="0" w:right="0" w:firstLine="0"/>
              <w:jc w:val="left"/>
              <w:rPr>
                <w:rFonts w:hint="default"/>
                <w:b w:val="0"/>
                <w:bCs w:val="0"/>
                <w:color w:val="auto"/>
                <w:sz w:val="22"/>
                <w:szCs w:val="22"/>
                <w:lang w:val="en-US"/>
              </w:rPr>
            </w:pPr>
            <w:r>
              <w:rPr>
                <w:rFonts w:hint="eastAsia" w:ascii="Times New Roman" w:hAnsi="Times New Roman" w:eastAsia="Times New Roman" w:cs="Times New Roman"/>
                <w:b/>
                <w:bCs/>
                <w:color w:val="auto"/>
                <w:spacing w:val="0"/>
                <w:w w:val="100"/>
                <w:position w:val="0"/>
                <w:sz w:val="22"/>
                <w:szCs w:val="22"/>
                <w:lang w:val="en-US" w:eastAsia="zh-CN" w:bidi="zh-CN"/>
              </w:rPr>
              <w:t>4</w:t>
            </w:r>
            <w:r>
              <w:rPr>
                <w:rFonts w:ascii="Times New Roman" w:hAnsi="Times New Roman" w:eastAsia="Times New Roman" w:cs="Times New Roman"/>
                <w:b/>
                <w:bCs/>
                <w:color w:val="auto"/>
                <w:spacing w:val="0"/>
                <w:w w:val="100"/>
                <w:position w:val="0"/>
                <w:sz w:val="22"/>
                <w:szCs w:val="22"/>
                <w:lang w:val="zh-CN" w:eastAsia="zh-CN" w:bidi="zh-CN"/>
              </w:rPr>
              <w:t>-1</w:t>
            </w:r>
            <w:r>
              <w:rPr>
                <w:rFonts w:hint="eastAsia" w:ascii="Times New Roman" w:hAnsi="Times New Roman" w:eastAsia="Times New Roman" w:cs="Times New Roman"/>
                <w:b w:val="0"/>
                <w:bCs w:val="0"/>
                <w:color w:val="auto"/>
                <w:spacing w:val="0"/>
                <w:w w:val="100"/>
                <w:position w:val="0"/>
                <w:sz w:val="22"/>
                <w:szCs w:val="22"/>
                <w:lang w:val="en-US" w:eastAsia="zh-CN" w:bidi="zh-CN"/>
              </w:rPr>
              <w:t>校内实践教学条件</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2"/>
                <w:szCs w:val="22"/>
              </w:rPr>
              <w:t>（</w:t>
            </w:r>
            <w:r>
              <w:rPr>
                <w:rFonts w:hint="eastAsia" w:ascii="Times New Roman" w:hAnsi="Times New Roman" w:cs="Times New Roman"/>
                <w:b/>
                <w:bCs/>
                <w:color w:val="auto"/>
                <w:spacing w:val="0"/>
                <w:w w:val="100"/>
                <w:position w:val="0"/>
                <w:sz w:val="22"/>
                <w:szCs w:val="22"/>
                <w:lang w:val="en-US" w:eastAsia="zh-CN"/>
              </w:rPr>
              <w:t>6</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①根据专业培养目标要求制定了专业实践教学条件建设规划；构建体现校企合作的运行机制</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4"/>
                <w:szCs w:val="24"/>
              </w:rPr>
            </w:pPr>
            <w:r>
              <w:rPr>
                <w:rFonts w:hint="eastAsia"/>
                <w:color w:val="auto"/>
                <w:spacing w:val="0"/>
                <w:w w:val="100"/>
                <w:position w:val="0"/>
                <w:sz w:val="22"/>
                <w:szCs w:val="22"/>
                <w:lang w:val="en-US" w:eastAsia="zh-CN"/>
              </w:rPr>
              <w:t>②根据课程改革与建设的情况，能及时修改和调整专业实践教学条件建设规划</w:t>
            </w:r>
            <w:r>
              <w:rPr>
                <w:rFonts w:ascii="Times New Roman" w:hAnsi="Times New Roman" w:eastAsia="Times New Roman" w:cs="Times New Roman"/>
                <w:b/>
                <w:bCs/>
                <w:color w:val="auto"/>
                <w:spacing w:val="0"/>
                <w:w w:val="100"/>
                <w:position w:val="0"/>
                <w:sz w:val="24"/>
                <w:szCs w:val="24"/>
              </w:rPr>
              <w:t>;</w:t>
            </w: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rFonts w:ascii="Times New Roman" w:hAnsi="Times New Roman" w:eastAsia="Times New Roman" w:cs="Times New Roman"/>
                <w:b/>
                <w:bCs/>
                <w:color w:val="auto"/>
                <w:spacing w:val="0"/>
                <w:w w:val="100"/>
                <w:position w:val="0"/>
                <w:sz w:val="24"/>
                <w:szCs w:val="24"/>
              </w:rPr>
            </w:pPr>
            <w:r>
              <w:rPr>
                <w:rFonts w:hint="eastAsia"/>
                <w:color w:val="auto"/>
                <w:spacing w:val="0"/>
                <w:w w:val="100"/>
                <w:position w:val="0"/>
                <w:sz w:val="22"/>
                <w:szCs w:val="22"/>
                <w:lang w:val="en-US" w:eastAsia="zh-CN"/>
              </w:rPr>
              <w:t>③能根据学校建设计划积极争取建设项目，改革专业实践教学条件</w:t>
            </w:r>
            <w:r>
              <w:rPr>
                <w:rFonts w:ascii="Times New Roman" w:hAnsi="Times New Roman" w:eastAsia="Times New Roman" w:cs="Times New Roman"/>
                <w:b/>
                <w:bCs/>
                <w:color w:val="auto"/>
                <w:spacing w:val="0"/>
                <w:w w:val="100"/>
                <w:position w:val="0"/>
                <w:sz w:val="24"/>
                <w:szCs w:val="24"/>
              </w:rPr>
              <w:t>;</w:t>
            </w: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rFonts w:ascii="Times New Roman" w:hAnsi="Times New Roman" w:eastAsia="Times New Roman" w:cs="Times New Roman"/>
                <w:b/>
                <w:bCs/>
                <w:color w:val="auto"/>
                <w:spacing w:val="0"/>
                <w:w w:val="100"/>
                <w:position w:val="0"/>
                <w:sz w:val="24"/>
                <w:szCs w:val="24"/>
              </w:rPr>
            </w:pPr>
            <w:r>
              <w:rPr>
                <w:rFonts w:hint="eastAsia" w:ascii="Times New Roman" w:hAnsi="Times New Roman" w:cs="Times New Roman"/>
                <w:b w:val="0"/>
                <w:bCs w:val="0"/>
                <w:color w:val="auto"/>
                <w:spacing w:val="0"/>
                <w:w w:val="100"/>
                <w:position w:val="0"/>
                <w:sz w:val="22"/>
                <w:szCs w:val="22"/>
                <w:lang w:val="en-US" w:eastAsia="zh-CN"/>
              </w:rPr>
              <w:t>④校内实践教学基地具有真实（仿真）的职业氛围，能根据专业培养目标和专业课程体系开放实训项目；</w:t>
            </w:r>
          </w:p>
          <w:p>
            <w:pPr>
              <w:pStyle w:val="19"/>
              <w:keepNext w:val="0"/>
              <w:keepLines w:val="0"/>
              <w:widowControl w:val="0"/>
              <w:numPr>
                <w:ilvl w:val="0"/>
                <w:numId w:val="0"/>
              </w:numPr>
              <w:shd w:val="clear" w:color="auto" w:fill="auto"/>
              <w:tabs>
                <w:tab w:val="left" w:pos="216"/>
              </w:tabs>
              <w:bidi w:val="0"/>
              <w:spacing w:before="0" w:after="0" w:line="288" w:lineRule="exact"/>
              <w:ind w:leftChars="0" w:right="0" w:rightChars="0"/>
              <w:jc w:val="left"/>
              <w:rPr>
                <w:color w:val="auto"/>
                <w:sz w:val="24"/>
                <w:szCs w:val="24"/>
              </w:rPr>
            </w:pPr>
            <w:r>
              <w:rPr>
                <w:rFonts w:hint="eastAsia"/>
                <w:color w:val="auto"/>
                <w:spacing w:val="0"/>
                <w:w w:val="100"/>
                <w:position w:val="0"/>
                <w:sz w:val="22"/>
                <w:szCs w:val="22"/>
                <w:lang w:val="en-US" w:eastAsia="zh-CN"/>
              </w:rPr>
              <w:t>⑤能结合课程改革及时调整实训项目</w:t>
            </w:r>
            <w:r>
              <w:rPr>
                <w:rFonts w:ascii="Times New Roman" w:hAnsi="Times New Roman" w:eastAsia="Times New Roman" w:cs="Times New Roman"/>
                <w:b/>
                <w:bCs/>
                <w:color w:val="auto"/>
                <w:spacing w:val="0"/>
                <w:w w:val="100"/>
                <w:position w:val="0"/>
                <w:sz w:val="24"/>
                <w:szCs w:val="24"/>
              </w:rPr>
              <w:t>;</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⑥实训教学的教学文件完整，教学目标、标准符合专业培养目标；</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rFonts w:hint="default"/>
                <w:color w:val="auto"/>
                <w:sz w:val="22"/>
                <w:szCs w:val="22"/>
                <w:lang w:val="en-US"/>
              </w:rPr>
            </w:pPr>
            <w:r>
              <w:rPr>
                <w:rFonts w:hint="eastAsia"/>
                <w:color w:val="auto"/>
                <w:spacing w:val="0"/>
                <w:w w:val="100"/>
                <w:position w:val="0"/>
                <w:sz w:val="22"/>
                <w:szCs w:val="22"/>
                <w:lang w:val="en-US" w:eastAsia="zh-CN"/>
              </w:rPr>
              <w:t>⑦有课余向学生开放机制，并有专业教师指导学生自主进行实训。</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2"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w:t>
            </w:r>
            <w:r>
              <w:rPr>
                <w:rFonts w:hint="eastAsia"/>
                <w:color w:val="auto"/>
                <w:spacing w:val="0"/>
                <w:w w:val="100"/>
                <w:position w:val="0"/>
                <w:sz w:val="22"/>
                <w:szCs w:val="22"/>
                <w:lang w:val="en-US" w:eastAsia="zh-CN"/>
              </w:rPr>
              <w:t>实践教学条件建设规划</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282" w:lineRule="exact"/>
              <w:ind w:leftChars="0" w:right="0" w:right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②</w:t>
            </w:r>
            <w:r>
              <w:rPr>
                <w:color w:val="auto"/>
                <w:spacing w:val="0"/>
                <w:w w:val="100"/>
                <w:position w:val="0"/>
                <w:sz w:val="22"/>
                <w:szCs w:val="22"/>
              </w:rPr>
              <w:t>查</w:t>
            </w:r>
            <w:r>
              <w:rPr>
                <w:rFonts w:hint="eastAsia"/>
                <w:color w:val="auto"/>
                <w:spacing w:val="0"/>
                <w:w w:val="100"/>
                <w:position w:val="0"/>
                <w:sz w:val="22"/>
                <w:szCs w:val="22"/>
                <w:lang w:val="en-US" w:eastAsia="zh-CN"/>
              </w:rPr>
              <w:t>实践教学运行保障机制；</w:t>
            </w:r>
          </w:p>
          <w:p>
            <w:pPr>
              <w:pStyle w:val="19"/>
              <w:keepNext w:val="0"/>
              <w:keepLines w:val="0"/>
              <w:widowControl w:val="0"/>
              <w:numPr>
                <w:ilvl w:val="0"/>
                <w:numId w:val="0"/>
              </w:numPr>
              <w:shd w:val="clear" w:color="auto" w:fill="auto"/>
              <w:tabs>
                <w:tab w:val="left" w:pos="204"/>
              </w:tabs>
              <w:bidi w:val="0"/>
              <w:spacing w:before="0" w:after="0" w:line="282" w:lineRule="exact"/>
              <w:ind w:leftChars="0" w:right="0" w:right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③查实践教学条件改进情况；</w:t>
            </w:r>
          </w:p>
          <w:p>
            <w:pPr>
              <w:pStyle w:val="19"/>
              <w:keepNext w:val="0"/>
              <w:keepLines w:val="0"/>
              <w:widowControl w:val="0"/>
              <w:numPr>
                <w:ilvl w:val="0"/>
                <w:numId w:val="0"/>
              </w:numPr>
              <w:shd w:val="clear" w:color="auto" w:fill="auto"/>
              <w:tabs>
                <w:tab w:val="left" w:pos="204"/>
              </w:tabs>
              <w:bidi w:val="0"/>
              <w:spacing w:before="0" w:after="0" w:line="282" w:lineRule="exact"/>
              <w:ind w:leftChars="0" w:right="0" w:rightChars="0"/>
              <w:jc w:val="left"/>
              <w:rPr>
                <w:rFonts w:hint="default"/>
                <w:color w:val="auto"/>
                <w:spacing w:val="0"/>
                <w:w w:val="100"/>
                <w:position w:val="0"/>
                <w:sz w:val="22"/>
                <w:szCs w:val="22"/>
                <w:lang w:val="en-US" w:eastAsia="zh-CN"/>
              </w:rPr>
            </w:pPr>
            <w:r>
              <w:rPr>
                <w:rFonts w:hint="eastAsia"/>
                <w:color w:val="auto"/>
                <w:spacing w:val="0"/>
                <w:w w:val="100"/>
                <w:position w:val="0"/>
                <w:sz w:val="22"/>
                <w:szCs w:val="22"/>
                <w:lang w:val="en-US" w:eastAsia="zh-CN"/>
              </w:rPr>
              <w:t>④查实践教学文件。</w:t>
            </w:r>
          </w:p>
        </w:tc>
      </w:tr>
      <w:tr>
        <w:tblPrEx>
          <w:tblCellMar>
            <w:top w:w="0" w:type="dxa"/>
            <w:left w:w="10" w:type="dxa"/>
            <w:bottom w:w="0" w:type="dxa"/>
            <w:right w:w="10" w:type="dxa"/>
          </w:tblCellMar>
        </w:tblPrEx>
        <w:trPr>
          <w:trHeight w:val="1211" w:hRule="exact"/>
          <w:jc w:val="center"/>
        </w:trPr>
        <w:tc>
          <w:tcPr>
            <w:tcW w:w="696" w:type="dxa"/>
            <w:vMerge w:val="continue"/>
            <w:tcBorders>
              <w:left w:val="single" w:color="auto" w:sz="4" w:space="0"/>
            </w:tcBorders>
            <w:shd w:val="clear" w:color="auto" w:fill="FFFFFF"/>
            <w:vAlign w:val="center"/>
          </w:tcPr>
          <w:p>
            <w:pPr>
              <w:rPr>
                <w:color w:val="auto"/>
                <w:sz w:val="22"/>
                <w:szCs w:val="22"/>
              </w:rPr>
            </w:pP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left"/>
              <w:rPr>
                <w:rFonts w:hint="default" w:eastAsia="宋体"/>
                <w:b w:val="0"/>
                <w:bCs w:val="0"/>
                <w:color w:val="auto"/>
                <w:sz w:val="22"/>
                <w:szCs w:val="22"/>
                <w:lang w:val="en-US" w:eastAsia="zh-CN"/>
              </w:rPr>
            </w:pPr>
            <w:r>
              <w:rPr>
                <w:rFonts w:hint="eastAsia" w:ascii="Times New Roman" w:hAnsi="Times New Roman" w:cs="Times New Roman"/>
                <w:b/>
                <w:bCs/>
                <w:color w:val="auto"/>
                <w:spacing w:val="0"/>
                <w:w w:val="100"/>
                <w:position w:val="0"/>
                <w:sz w:val="22"/>
                <w:szCs w:val="22"/>
                <w:lang w:val="en-US" w:eastAsia="zh-CN"/>
              </w:rPr>
              <w:t>4</w:t>
            </w:r>
            <w:r>
              <w:rPr>
                <w:rFonts w:ascii="Times New Roman" w:hAnsi="Times New Roman" w:eastAsia="Times New Roman" w:cs="Times New Roman"/>
                <w:b/>
                <w:bCs/>
                <w:color w:val="auto"/>
                <w:spacing w:val="0"/>
                <w:w w:val="100"/>
                <w:position w:val="0"/>
                <w:sz w:val="22"/>
                <w:szCs w:val="22"/>
              </w:rPr>
              <w:t>-2</w:t>
            </w:r>
            <w:r>
              <w:rPr>
                <w:rFonts w:hint="eastAsia" w:ascii="Times New Roman" w:hAnsi="Times New Roman" w:cs="Times New Roman"/>
                <w:b w:val="0"/>
                <w:bCs w:val="0"/>
                <w:color w:val="auto"/>
                <w:spacing w:val="0"/>
                <w:w w:val="100"/>
                <w:position w:val="0"/>
                <w:sz w:val="22"/>
                <w:szCs w:val="22"/>
                <w:lang w:val="en-US" w:eastAsia="zh-CN"/>
              </w:rPr>
              <w:t>校外实践教学条件</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2"/>
                <w:szCs w:val="22"/>
              </w:rPr>
              <w:t>（</w:t>
            </w:r>
            <w:r>
              <w:rPr>
                <w:rFonts w:hint="eastAsia" w:ascii="Times New Roman" w:hAnsi="Times New Roman" w:cs="Times New Roman"/>
                <w:b/>
                <w:bCs/>
                <w:color w:val="auto"/>
                <w:spacing w:val="0"/>
                <w:w w:val="100"/>
                <w:position w:val="0"/>
                <w:sz w:val="22"/>
                <w:szCs w:val="22"/>
                <w:lang w:val="en-US" w:eastAsia="zh-CN"/>
              </w:rPr>
              <w:t>6</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①建有稳定的校外实训基地，能满足学生综合实训和实习需要</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②校外实训基地能满足专业教师顶岗实习的需要</w:t>
            </w:r>
            <w:r>
              <w:rPr>
                <w:color w:val="auto"/>
                <w:spacing w:val="0"/>
                <w:w w:val="100"/>
                <w:position w:val="0"/>
                <w:sz w:val="22"/>
                <w:szCs w:val="22"/>
                <w:lang w:val="en-US" w:eastAsia="en-US" w:bidi="en-US"/>
              </w:rPr>
              <w:t>•</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rFonts w:hint="default" w:eastAsia="宋体"/>
                <w:color w:val="auto"/>
                <w:sz w:val="22"/>
                <w:szCs w:val="22"/>
                <w:lang w:val="en-US" w:eastAsia="zh-CN"/>
              </w:rPr>
            </w:pPr>
            <w:r>
              <w:rPr>
                <w:rFonts w:hint="eastAsia"/>
                <w:color w:val="auto"/>
                <w:sz w:val="22"/>
                <w:szCs w:val="22"/>
                <w:lang w:val="en-US" w:eastAsia="zh-CN"/>
              </w:rPr>
              <w:t>校外实训基地情况及保障机制</w:t>
            </w:r>
          </w:p>
        </w:tc>
      </w:tr>
      <w:tr>
        <w:tblPrEx>
          <w:tblCellMar>
            <w:top w:w="0" w:type="dxa"/>
            <w:left w:w="10" w:type="dxa"/>
            <w:bottom w:w="0" w:type="dxa"/>
            <w:right w:w="10" w:type="dxa"/>
          </w:tblCellMar>
        </w:tblPrEx>
        <w:trPr>
          <w:trHeight w:val="1211" w:hRule="exact"/>
          <w:jc w:val="center"/>
        </w:trPr>
        <w:tc>
          <w:tcPr>
            <w:tcW w:w="696" w:type="dxa"/>
            <w:vMerge w:val="continue"/>
            <w:tcBorders>
              <w:left w:val="single" w:color="auto" w:sz="4" w:space="0"/>
              <w:bottom w:val="single" w:color="auto" w:sz="4" w:space="0"/>
            </w:tcBorders>
            <w:shd w:val="clear" w:color="auto" w:fill="FFFFFF"/>
            <w:vAlign w:val="center"/>
          </w:tcPr>
          <w:p>
            <w:pPr>
              <w:rPr>
                <w:color w:val="auto"/>
                <w:sz w:val="22"/>
                <w:szCs w:val="22"/>
              </w:rPr>
            </w:pPr>
          </w:p>
        </w:tc>
        <w:tc>
          <w:tcPr>
            <w:tcW w:w="1392" w:type="dxa"/>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left"/>
              <w:rPr>
                <w:rFonts w:hint="default" w:eastAsia="宋体"/>
                <w:b w:val="0"/>
                <w:bCs w:val="0"/>
                <w:color w:val="auto"/>
                <w:sz w:val="22"/>
                <w:szCs w:val="22"/>
                <w:lang w:val="en-US" w:eastAsia="zh-CN"/>
              </w:rPr>
            </w:pPr>
            <w:r>
              <w:rPr>
                <w:rFonts w:hint="eastAsia" w:ascii="Times New Roman" w:hAnsi="Times New Roman" w:cs="Times New Roman"/>
                <w:b/>
                <w:bCs/>
                <w:color w:val="auto"/>
                <w:spacing w:val="0"/>
                <w:w w:val="100"/>
                <w:position w:val="0"/>
                <w:sz w:val="22"/>
                <w:szCs w:val="22"/>
                <w:lang w:val="en-US" w:eastAsia="zh-CN"/>
              </w:rPr>
              <w:t>4</w:t>
            </w:r>
            <w:r>
              <w:rPr>
                <w:rFonts w:ascii="Times New Roman" w:hAnsi="Times New Roman" w:eastAsia="Times New Roman" w:cs="Times New Roman"/>
                <w:b/>
                <w:bCs/>
                <w:color w:val="auto"/>
                <w:spacing w:val="0"/>
                <w:w w:val="100"/>
                <w:position w:val="0"/>
                <w:sz w:val="22"/>
                <w:szCs w:val="22"/>
              </w:rPr>
              <w:t>-3</w:t>
            </w:r>
            <w:r>
              <w:rPr>
                <w:rFonts w:hint="eastAsia" w:ascii="Times New Roman" w:hAnsi="Times New Roman" w:cs="Times New Roman"/>
                <w:b w:val="0"/>
                <w:bCs w:val="0"/>
                <w:color w:val="auto"/>
                <w:spacing w:val="0"/>
                <w:w w:val="100"/>
                <w:position w:val="0"/>
                <w:sz w:val="22"/>
                <w:szCs w:val="22"/>
                <w:lang w:val="en-US" w:eastAsia="zh-CN"/>
              </w:rPr>
              <w:t>实践教学管理</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2"/>
                <w:szCs w:val="22"/>
              </w:rPr>
              <w:t>（</w:t>
            </w:r>
            <w:r>
              <w:rPr>
                <w:rFonts w:hint="eastAsia" w:ascii="Times New Roman" w:hAnsi="Times New Roman" w:cs="Times New Roman"/>
                <w:b/>
                <w:bCs/>
                <w:color w:val="auto"/>
                <w:spacing w:val="0"/>
                <w:w w:val="100"/>
                <w:position w:val="0"/>
                <w:sz w:val="22"/>
                <w:szCs w:val="22"/>
                <w:lang w:val="en-US" w:eastAsia="zh-CN"/>
              </w:rPr>
              <w:t>3</w:t>
            </w:r>
            <w:r>
              <w:rPr>
                <w:color w:val="auto"/>
                <w:spacing w:val="0"/>
                <w:w w:val="100"/>
                <w:position w:val="0"/>
                <w:sz w:val="22"/>
                <w:szCs w:val="22"/>
              </w:rPr>
              <w:t>分）</w:t>
            </w:r>
          </w:p>
        </w:tc>
        <w:tc>
          <w:tcPr>
            <w:tcW w:w="6120" w:type="dxa"/>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numPr>
                <w:ilvl w:val="0"/>
                <w:numId w:val="0"/>
              </w:numPr>
              <w:shd w:val="clear" w:color="auto" w:fill="auto"/>
              <w:tabs>
                <w:tab w:val="left" w:pos="19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①实践教学过程管理</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②实践教学文件资料管理</w:t>
            </w:r>
            <w:r>
              <w:rPr>
                <w:color w:val="auto"/>
                <w:spacing w:val="0"/>
                <w:w w:val="100"/>
                <w:position w:val="0"/>
                <w:sz w:val="22"/>
                <w:szCs w:val="22"/>
              </w:rPr>
              <w:t>。</w:t>
            </w:r>
          </w:p>
        </w:tc>
        <w:tc>
          <w:tcPr>
            <w:tcW w:w="2520" w:type="dxa"/>
            <w:tcBorders>
              <w:top w:val="single" w:color="auto" w:sz="4" w:space="0"/>
              <w:left w:val="single" w:color="auto" w:sz="4" w:space="0"/>
              <w:bottom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bottom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bottom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16"/>
              </w:tabs>
              <w:bidi w:val="0"/>
              <w:spacing w:before="0" w:after="0" w:line="300"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w:t>
            </w:r>
            <w:r>
              <w:rPr>
                <w:rFonts w:hint="eastAsia"/>
                <w:color w:val="auto"/>
                <w:spacing w:val="0"/>
                <w:w w:val="100"/>
                <w:position w:val="0"/>
                <w:sz w:val="22"/>
                <w:szCs w:val="22"/>
                <w:lang w:val="en-US" w:eastAsia="zh-CN"/>
              </w:rPr>
              <w:t>实践教学场所管理制度、专业实验室设备清单、大型设备操作规程等资料</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②查实践教学文件资料。</w:t>
            </w:r>
          </w:p>
          <w:p>
            <w:pPr>
              <w:pStyle w:val="19"/>
              <w:keepNext w:val="0"/>
              <w:keepLines w:val="0"/>
              <w:widowControl w:val="0"/>
              <w:numPr>
                <w:ilvl w:val="0"/>
                <w:numId w:val="0"/>
              </w:numPr>
              <w:shd w:val="clear" w:color="auto" w:fill="auto"/>
              <w:tabs>
                <w:tab w:val="left" w:pos="204"/>
              </w:tabs>
              <w:bidi w:val="0"/>
              <w:spacing w:before="0" w:after="0" w:line="300" w:lineRule="exact"/>
              <w:ind w:leftChars="0" w:right="0" w:rightChars="0"/>
              <w:jc w:val="left"/>
              <w:rPr>
                <w:color w:val="auto"/>
                <w:sz w:val="22"/>
                <w:szCs w:val="22"/>
              </w:rPr>
            </w:pPr>
          </w:p>
        </w:tc>
      </w:tr>
      <w:tr>
        <w:tblPrEx>
          <w:tblCellMar>
            <w:top w:w="0" w:type="dxa"/>
            <w:left w:w="10" w:type="dxa"/>
            <w:bottom w:w="0" w:type="dxa"/>
            <w:right w:w="10" w:type="dxa"/>
          </w:tblCellMar>
        </w:tblPrEx>
        <w:trPr>
          <w:trHeight w:val="1287" w:hRule="exact"/>
          <w:jc w:val="center"/>
        </w:trPr>
        <w:tc>
          <w:tcPr>
            <w:tcW w:w="696" w:type="dxa"/>
            <w:tcBorders>
              <w:top w:val="single" w:color="auto" w:sz="4" w:space="0"/>
              <w:left w:val="single" w:color="auto" w:sz="4" w:space="0"/>
              <w:right w:val="single" w:color="auto" w:sz="4" w:space="0"/>
            </w:tcBorders>
            <w:shd w:val="clear" w:color="auto" w:fill="FFFFFF"/>
            <w:vAlign w:val="center"/>
          </w:tcPr>
          <w:p>
            <w:pPr>
              <w:rPr>
                <w:color w:val="auto"/>
                <w:sz w:val="21"/>
                <w:szCs w:val="21"/>
              </w:rPr>
            </w:pP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left"/>
              <w:rPr>
                <w:rFonts w:ascii="Times New Roman" w:hAnsi="Times New Roman" w:eastAsia="Times New Roman" w:cs="Times New Roman"/>
                <w:b/>
                <w:bCs/>
                <w:color w:val="auto"/>
                <w:spacing w:val="0"/>
                <w:w w:val="100"/>
                <w:position w:val="0"/>
                <w:sz w:val="24"/>
                <w:szCs w:val="24"/>
              </w:rPr>
            </w:pPr>
            <w:r>
              <w:rPr>
                <w:rFonts w:hint="eastAsia" w:ascii="Times New Roman" w:hAnsi="Times New Roman" w:cs="Times New Roman"/>
                <w:b/>
                <w:bCs/>
                <w:color w:val="auto"/>
                <w:spacing w:val="0"/>
                <w:w w:val="100"/>
                <w:position w:val="0"/>
                <w:sz w:val="22"/>
                <w:szCs w:val="22"/>
                <w:lang w:val="en-US" w:eastAsia="zh-CN"/>
              </w:rPr>
              <w:t>5-1</w:t>
            </w:r>
            <w:r>
              <w:rPr>
                <w:rFonts w:hint="eastAsia" w:ascii="Times New Roman" w:hAnsi="Times New Roman" w:cs="Times New Roman"/>
                <w:b w:val="0"/>
                <w:bCs w:val="0"/>
                <w:color w:val="auto"/>
                <w:spacing w:val="0"/>
                <w:w w:val="100"/>
                <w:position w:val="0"/>
                <w:sz w:val="22"/>
                <w:szCs w:val="22"/>
                <w:lang w:val="en-US" w:eastAsia="zh-CN"/>
              </w:rPr>
              <w:t>实践教学管理</w:t>
            </w:r>
            <w:r>
              <w:rPr>
                <w:rFonts w:ascii="Times New Roman" w:hAnsi="Times New Roman" w:eastAsia="Times New Roman" w:cs="Times New Roman"/>
                <w:b/>
                <w:bCs/>
                <w:color w:val="auto"/>
                <w:spacing w:val="0"/>
                <w:w w:val="100"/>
                <w:position w:val="0"/>
                <w:sz w:val="22"/>
                <w:szCs w:val="22"/>
              </w:rPr>
              <w:t>（</w:t>
            </w:r>
            <w:r>
              <w:rPr>
                <w:rFonts w:hint="eastAsia" w:ascii="Times New Roman" w:hAnsi="Times New Roman" w:cs="Times New Roman"/>
                <w:b/>
                <w:bCs/>
                <w:color w:val="auto"/>
                <w:spacing w:val="0"/>
                <w:w w:val="100"/>
                <w:position w:val="0"/>
                <w:sz w:val="22"/>
                <w:szCs w:val="22"/>
                <w:lang w:val="en-US" w:eastAsia="zh-CN"/>
              </w:rPr>
              <w:t>2</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center"/>
          </w:tcPr>
          <w:p>
            <w:pPr>
              <w:pStyle w:val="19"/>
              <w:keepNext w:val="0"/>
              <w:keepLines w:val="0"/>
              <w:widowControl w:val="0"/>
              <w:numPr>
                <w:ilvl w:val="0"/>
                <w:numId w:val="0"/>
              </w:numPr>
              <w:shd w:val="clear" w:color="auto" w:fill="auto"/>
              <w:tabs>
                <w:tab w:val="left" w:pos="19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①建立了培训开放机制</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192"/>
              </w:tabs>
              <w:bidi w:val="0"/>
              <w:spacing w:before="0" w:after="0" w:line="240" w:lineRule="auto"/>
              <w:ind w:leftChars="0" w:right="0" w:right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②能结合专业开发培训项目</w:t>
            </w:r>
            <w:r>
              <w:rPr>
                <w:color w:val="auto"/>
                <w:spacing w:val="0"/>
                <w:w w:val="100"/>
                <w:position w:val="0"/>
                <w:sz w:val="22"/>
                <w:szCs w:val="22"/>
              </w:rPr>
              <w:t>。</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bottom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192"/>
              </w:tabs>
              <w:bidi w:val="0"/>
              <w:spacing w:before="0" w:after="0" w:line="240" w:lineRule="auto"/>
              <w:ind w:leftChars="0" w:right="0" w:rightChars="0"/>
              <w:jc w:val="left"/>
              <w:rPr>
                <w:rFonts w:hint="eastAsia"/>
                <w:color w:val="auto"/>
                <w:spacing w:val="0"/>
                <w:w w:val="100"/>
                <w:position w:val="0"/>
                <w:sz w:val="22"/>
                <w:szCs w:val="22"/>
                <w:lang w:val="en-US" w:eastAsia="zh-CN"/>
              </w:rPr>
            </w:pPr>
          </w:p>
          <w:p>
            <w:pPr>
              <w:pStyle w:val="19"/>
              <w:keepNext w:val="0"/>
              <w:keepLines w:val="0"/>
              <w:widowControl w:val="0"/>
              <w:numPr>
                <w:ilvl w:val="0"/>
                <w:numId w:val="0"/>
              </w:numPr>
              <w:shd w:val="clear" w:color="auto" w:fill="auto"/>
              <w:tabs>
                <w:tab w:val="left" w:pos="19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①查培训开发机制</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300" w:lineRule="exact"/>
              <w:ind w:leftChars="0" w:right="0" w:right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②培训处查培训情况</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300" w:lineRule="exact"/>
              <w:ind w:leftChars="0" w:right="0" w:rightChars="0"/>
              <w:jc w:val="left"/>
              <w:rPr>
                <w:rFonts w:hint="eastAsia"/>
                <w:color w:val="auto"/>
                <w:spacing w:val="0"/>
                <w:w w:val="100"/>
                <w:position w:val="0"/>
                <w:sz w:val="22"/>
                <w:szCs w:val="22"/>
                <w:lang w:val="en-US" w:eastAsia="zh-CN"/>
              </w:rPr>
            </w:pPr>
          </w:p>
          <w:p>
            <w:pPr>
              <w:pStyle w:val="19"/>
              <w:keepNext w:val="0"/>
              <w:keepLines w:val="0"/>
              <w:widowControl w:val="0"/>
              <w:numPr>
                <w:ilvl w:val="0"/>
                <w:numId w:val="0"/>
              </w:numPr>
              <w:shd w:val="clear" w:color="auto" w:fill="auto"/>
              <w:tabs>
                <w:tab w:val="left" w:pos="204"/>
              </w:tabs>
              <w:bidi w:val="0"/>
              <w:spacing w:before="0" w:after="0" w:line="300" w:lineRule="exact"/>
              <w:ind w:leftChars="0" w:right="0" w:rightChars="0"/>
              <w:jc w:val="left"/>
              <w:rPr>
                <w:rFonts w:hint="eastAsia"/>
                <w:color w:val="auto"/>
                <w:spacing w:val="0"/>
                <w:w w:val="100"/>
                <w:position w:val="0"/>
                <w:sz w:val="22"/>
                <w:szCs w:val="22"/>
                <w:lang w:val="en-US" w:eastAsia="zh-CN"/>
              </w:rPr>
            </w:pPr>
          </w:p>
          <w:p>
            <w:pPr>
              <w:pStyle w:val="19"/>
              <w:keepNext w:val="0"/>
              <w:keepLines w:val="0"/>
              <w:widowControl w:val="0"/>
              <w:numPr>
                <w:ilvl w:val="0"/>
                <w:numId w:val="0"/>
              </w:numPr>
              <w:shd w:val="clear" w:color="auto" w:fill="auto"/>
              <w:tabs>
                <w:tab w:val="left" w:pos="204"/>
              </w:tabs>
              <w:bidi w:val="0"/>
              <w:spacing w:before="0" w:after="0" w:line="300" w:lineRule="exact"/>
              <w:ind w:leftChars="0" w:right="0" w:rightChars="0"/>
              <w:jc w:val="left"/>
              <w:rPr>
                <w:rFonts w:hint="eastAsia"/>
                <w:color w:val="auto"/>
                <w:spacing w:val="0"/>
                <w:w w:val="100"/>
                <w:position w:val="0"/>
                <w:sz w:val="22"/>
                <w:szCs w:val="22"/>
                <w:lang w:val="en-US" w:eastAsia="zh-CN"/>
              </w:rPr>
            </w:pPr>
          </w:p>
          <w:p>
            <w:pPr>
              <w:pStyle w:val="19"/>
              <w:keepNext w:val="0"/>
              <w:keepLines w:val="0"/>
              <w:widowControl w:val="0"/>
              <w:numPr>
                <w:ilvl w:val="0"/>
                <w:numId w:val="0"/>
              </w:numPr>
              <w:shd w:val="clear" w:color="auto" w:fill="auto"/>
              <w:tabs>
                <w:tab w:val="left" w:pos="204"/>
              </w:tabs>
              <w:bidi w:val="0"/>
              <w:spacing w:before="0" w:after="0" w:line="300" w:lineRule="exact"/>
              <w:ind w:leftChars="0" w:right="0" w:rightChars="0"/>
              <w:jc w:val="left"/>
              <w:rPr>
                <w:rFonts w:hint="eastAsia"/>
                <w:color w:val="auto"/>
                <w:spacing w:val="0"/>
                <w:w w:val="100"/>
                <w:position w:val="0"/>
                <w:sz w:val="22"/>
                <w:szCs w:val="22"/>
                <w:lang w:val="en-US" w:eastAsia="zh-CN"/>
              </w:rPr>
            </w:pPr>
          </w:p>
        </w:tc>
      </w:tr>
      <w:tr>
        <w:tblPrEx>
          <w:tblCellMar>
            <w:top w:w="0" w:type="dxa"/>
            <w:left w:w="10" w:type="dxa"/>
            <w:bottom w:w="0" w:type="dxa"/>
            <w:right w:w="10" w:type="dxa"/>
          </w:tblCellMar>
        </w:tblPrEx>
        <w:trPr>
          <w:trHeight w:val="408" w:hRule="exact"/>
          <w:jc w:val="center"/>
        </w:trPr>
        <w:tc>
          <w:tcPr>
            <w:tcW w:w="2088" w:type="dxa"/>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评审指标</w:t>
            </w:r>
          </w:p>
        </w:tc>
        <w:tc>
          <w:tcPr>
            <w:tcW w:w="6120"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评分标准要求</w:t>
            </w:r>
          </w:p>
        </w:tc>
        <w:tc>
          <w:tcPr>
            <w:tcW w:w="2520"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依据</w:t>
            </w:r>
          </w:p>
        </w:tc>
        <w:tc>
          <w:tcPr>
            <w:tcW w:w="720"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得分</w:t>
            </w:r>
          </w:p>
        </w:tc>
        <w:tc>
          <w:tcPr>
            <w:tcW w:w="3108" w:type="dxa"/>
            <w:vMerge w:val="restart"/>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考察方式</w:t>
            </w:r>
          </w:p>
        </w:tc>
      </w:tr>
      <w:tr>
        <w:tblPrEx>
          <w:tblCellMar>
            <w:top w:w="0" w:type="dxa"/>
            <w:left w:w="10" w:type="dxa"/>
            <w:bottom w:w="0" w:type="dxa"/>
            <w:right w:w="10" w:type="dxa"/>
          </w:tblCellMar>
        </w:tblPrEx>
        <w:trPr>
          <w:trHeight w:val="576" w:hRule="exact"/>
          <w:jc w:val="center"/>
        </w:trPr>
        <w:tc>
          <w:tcPr>
            <w:tcW w:w="69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88" w:lineRule="exact"/>
              <w:ind w:left="0" w:right="0" w:firstLine="0"/>
              <w:jc w:val="left"/>
              <w:rPr>
                <w:color w:val="auto"/>
                <w:sz w:val="22"/>
                <w:szCs w:val="22"/>
              </w:rPr>
            </w:pPr>
            <w:r>
              <w:rPr>
                <w:color w:val="auto"/>
                <w:spacing w:val="0"/>
                <w:w w:val="100"/>
                <w:position w:val="0"/>
                <w:sz w:val="22"/>
                <w:szCs w:val="22"/>
              </w:rPr>
              <w:t>一级 指标</w:t>
            </w: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二级指标</w:t>
            </w:r>
          </w:p>
        </w:tc>
        <w:tc>
          <w:tcPr>
            <w:tcW w:w="6120" w:type="dxa"/>
            <w:vMerge w:val="continue"/>
            <w:tcBorders>
              <w:left w:val="single" w:color="auto" w:sz="4" w:space="0"/>
            </w:tcBorders>
            <w:shd w:val="clear" w:color="auto" w:fill="FFFFFF"/>
            <w:vAlign w:val="center"/>
          </w:tcPr>
          <w:p>
            <w:pPr>
              <w:rPr>
                <w:color w:val="auto"/>
                <w:sz w:val="21"/>
                <w:szCs w:val="21"/>
              </w:rPr>
            </w:pPr>
          </w:p>
        </w:tc>
        <w:tc>
          <w:tcPr>
            <w:tcW w:w="2520" w:type="dxa"/>
            <w:vMerge w:val="continue"/>
            <w:tcBorders>
              <w:left w:val="single" w:color="auto" w:sz="4" w:space="0"/>
            </w:tcBorders>
            <w:shd w:val="clear" w:color="auto" w:fill="FFFFFF"/>
            <w:vAlign w:val="center"/>
          </w:tcPr>
          <w:p>
            <w:pPr>
              <w:rPr>
                <w:color w:val="auto"/>
                <w:sz w:val="21"/>
                <w:szCs w:val="21"/>
              </w:rPr>
            </w:pPr>
          </w:p>
        </w:tc>
        <w:tc>
          <w:tcPr>
            <w:tcW w:w="720" w:type="dxa"/>
            <w:vMerge w:val="continue"/>
            <w:tcBorders>
              <w:left w:val="single" w:color="auto" w:sz="4" w:space="0"/>
            </w:tcBorders>
            <w:shd w:val="clear" w:color="auto" w:fill="FFFFFF"/>
            <w:vAlign w:val="center"/>
          </w:tcPr>
          <w:p>
            <w:pPr>
              <w:rPr>
                <w:color w:val="auto"/>
                <w:sz w:val="21"/>
                <w:szCs w:val="21"/>
              </w:rPr>
            </w:pPr>
          </w:p>
        </w:tc>
        <w:tc>
          <w:tcPr>
            <w:tcW w:w="3108" w:type="dxa"/>
            <w:vMerge w:val="continue"/>
            <w:tcBorders>
              <w:left w:val="single" w:color="auto" w:sz="4" w:space="0"/>
              <w:right w:val="single" w:color="auto" w:sz="4" w:space="0"/>
            </w:tcBorders>
            <w:shd w:val="clear" w:color="auto" w:fill="FFFFFF"/>
            <w:vAlign w:val="center"/>
          </w:tcPr>
          <w:p>
            <w:pPr>
              <w:rPr>
                <w:color w:val="auto"/>
                <w:sz w:val="21"/>
                <w:szCs w:val="21"/>
              </w:rPr>
            </w:pPr>
          </w:p>
        </w:tc>
      </w:tr>
      <w:tr>
        <w:tblPrEx>
          <w:tblCellMar>
            <w:top w:w="0" w:type="dxa"/>
            <w:left w:w="10" w:type="dxa"/>
            <w:bottom w:w="0" w:type="dxa"/>
            <w:right w:w="10" w:type="dxa"/>
          </w:tblCellMar>
        </w:tblPrEx>
        <w:trPr>
          <w:trHeight w:val="1262" w:hRule="exact"/>
          <w:jc w:val="center"/>
        </w:trPr>
        <w:tc>
          <w:tcPr>
            <w:tcW w:w="696" w:type="dxa"/>
            <w:vMerge w:val="restart"/>
            <w:tcBorders>
              <w:top w:val="single" w:color="auto" w:sz="4" w:space="0"/>
              <w:left w:val="single" w:color="auto" w:sz="4" w:space="0"/>
            </w:tcBorders>
            <w:shd w:val="clear" w:color="auto" w:fill="FFFFFF"/>
            <w:vAlign w:val="center"/>
          </w:tcPr>
          <w:p>
            <w:pPr>
              <w:ind w:left="0" w:leftChars="0" w:right="0" w:rightChars="0" w:firstLine="0" w:firstLineChars="0"/>
              <w:rPr>
                <w:color w:val="auto"/>
                <w:sz w:val="6"/>
                <w:szCs w:val="6"/>
              </w:rPr>
            </w:pPr>
            <w:r>
              <w:rPr>
                <w:rFonts w:hint="eastAsia" w:eastAsia="宋体"/>
                <w:color w:val="auto"/>
                <w:sz w:val="21"/>
                <w:szCs w:val="21"/>
                <w:lang w:val="en-US" w:eastAsia="zh-CN"/>
              </w:rPr>
              <w:t>五、社会服务能力建设（5分）</w:t>
            </w: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left"/>
              <w:rPr>
                <w:rFonts w:hint="eastAsia" w:eastAsia="宋体"/>
                <w:color w:val="auto"/>
                <w:sz w:val="22"/>
                <w:szCs w:val="22"/>
                <w:lang w:eastAsia="zh-CN"/>
              </w:rPr>
            </w:pPr>
            <w:r>
              <w:rPr>
                <w:rFonts w:hint="eastAsia" w:ascii="Times New Roman" w:hAnsi="Times New Roman" w:cs="Times New Roman"/>
                <w:b/>
                <w:bCs/>
                <w:color w:val="auto"/>
                <w:spacing w:val="0"/>
                <w:w w:val="100"/>
                <w:position w:val="0"/>
                <w:sz w:val="22"/>
                <w:szCs w:val="22"/>
                <w:lang w:val="en-US" w:eastAsia="zh-CN"/>
              </w:rPr>
              <w:t>5</w:t>
            </w:r>
            <w:r>
              <w:rPr>
                <w:rFonts w:ascii="Times New Roman" w:hAnsi="Times New Roman" w:eastAsia="Times New Roman" w:cs="Times New Roman"/>
                <w:b/>
                <w:bCs/>
                <w:color w:val="auto"/>
                <w:spacing w:val="0"/>
                <w:w w:val="100"/>
                <w:position w:val="0"/>
                <w:sz w:val="22"/>
                <w:szCs w:val="22"/>
              </w:rPr>
              <w:t>-</w:t>
            </w:r>
            <w:r>
              <w:rPr>
                <w:rFonts w:hint="eastAsia" w:ascii="Times New Roman" w:hAnsi="Times New Roman" w:cs="Times New Roman"/>
                <w:b/>
                <w:bCs/>
                <w:color w:val="auto"/>
                <w:spacing w:val="0"/>
                <w:w w:val="100"/>
                <w:position w:val="0"/>
                <w:sz w:val="22"/>
                <w:szCs w:val="22"/>
                <w:lang w:val="en-US" w:eastAsia="zh-CN"/>
              </w:rPr>
              <w:t>2</w:t>
            </w:r>
            <w:r>
              <w:rPr>
                <w:rFonts w:hint="eastAsia" w:ascii="Times New Roman" w:hAnsi="Times New Roman" w:cs="Times New Roman"/>
                <w:b w:val="0"/>
                <w:bCs w:val="0"/>
                <w:color w:val="auto"/>
                <w:spacing w:val="0"/>
                <w:w w:val="100"/>
                <w:position w:val="0"/>
                <w:sz w:val="22"/>
                <w:szCs w:val="22"/>
                <w:lang w:val="en-US" w:eastAsia="zh-CN"/>
              </w:rPr>
              <w:t>技术服务项目开发（2分）</w:t>
            </w:r>
          </w:p>
        </w:tc>
        <w:tc>
          <w:tcPr>
            <w:tcW w:w="6120" w:type="dxa"/>
            <w:tcBorders>
              <w:top w:val="single" w:color="auto" w:sz="4" w:space="0"/>
              <w:left w:val="single" w:color="auto" w:sz="4" w:space="0"/>
            </w:tcBorders>
            <w:shd w:val="clear" w:color="auto" w:fill="FFFFFF"/>
            <w:vAlign w:val="center"/>
          </w:tcPr>
          <w:p>
            <w:pPr>
              <w:pStyle w:val="19"/>
              <w:keepNext w:val="0"/>
              <w:keepLines w:val="0"/>
              <w:widowControl w:val="0"/>
              <w:numPr>
                <w:ilvl w:val="0"/>
                <w:numId w:val="0"/>
              </w:numPr>
              <w:shd w:val="clear" w:color="auto" w:fill="auto"/>
              <w:tabs>
                <w:tab w:val="left" w:pos="19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①有应用技术研究课题</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192"/>
              </w:tabs>
              <w:bidi w:val="0"/>
              <w:spacing w:before="0" w:after="0" w:line="240" w:lineRule="auto"/>
              <w:ind w:left="0" w:leftChars="0" w:right="0" w:rightChars="0" w:firstLine="0" w:firstLineChars="0"/>
              <w:jc w:val="left"/>
              <w:rPr>
                <w:color w:val="auto"/>
                <w:sz w:val="22"/>
                <w:szCs w:val="22"/>
              </w:rPr>
            </w:pPr>
            <w:r>
              <w:rPr>
                <w:rFonts w:hint="eastAsia"/>
                <w:color w:val="auto"/>
                <w:spacing w:val="0"/>
                <w:w w:val="100"/>
                <w:position w:val="0"/>
                <w:sz w:val="22"/>
                <w:szCs w:val="22"/>
                <w:lang w:val="en-US" w:eastAsia="zh-CN"/>
              </w:rPr>
              <w:t>②人均年公开发表专业论文0.5篇以上，其中在有影响的专业刊物上发表论文3篇以上</w:t>
            </w:r>
            <w:r>
              <w:rPr>
                <w:color w:val="auto"/>
                <w:spacing w:val="0"/>
                <w:w w:val="100"/>
                <w:position w:val="0"/>
                <w:sz w:val="22"/>
                <w:szCs w:val="22"/>
              </w:rPr>
              <w:t>。</w:t>
            </w:r>
          </w:p>
        </w:tc>
        <w:tc>
          <w:tcPr>
            <w:tcW w:w="2520" w:type="dxa"/>
            <w:tcBorders>
              <w:top w:val="single" w:color="auto" w:sz="4" w:space="0"/>
              <w:left w:val="single" w:color="auto" w:sz="4" w:space="0"/>
            </w:tcBorders>
            <w:shd w:val="clear" w:color="auto" w:fill="FFFFFF"/>
            <w:vAlign w:val="top"/>
          </w:tcPr>
          <w:p>
            <w:pPr>
              <w:widowControl w:val="0"/>
              <w:ind w:left="0" w:leftChars="0" w:right="0" w:rightChars="0" w:firstLine="0" w:firstLineChars="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ind w:left="0" w:leftChars="0" w:right="0" w:rightChars="0" w:firstLine="0" w:firstLineChars="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19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①科研处查科研项目</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300" w:lineRule="exact"/>
              <w:ind w:left="0" w:leftChars="0" w:right="0" w:rightChars="0" w:firstLine="0" w:firstLineChars="0"/>
              <w:jc w:val="left"/>
              <w:rPr>
                <w:color w:val="auto"/>
                <w:sz w:val="22"/>
                <w:szCs w:val="22"/>
              </w:rPr>
            </w:pPr>
            <w:r>
              <w:rPr>
                <w:rFonts w:hint="eastAsia"/>
                <w:color w:val="auto"/>
                <w:spacing w:val="0"/>
                <w:w w:val="100"/>
                <w:position w:val="0"/>
                <w:sz w:val="22"/>
                <w:szCs w:val="22"/>
                <w:lang w:val="en-US" w:eastAsia="zh-CN"/>
              </w:rPr>
              <w:t>②论文复印件</w:t>
            </w:r>
            <w:r>
              <w:rPr>
                <w:color w:val="auto"/>
                <w:spacing w:val="0"/>
                <w:w w:val="100"/>
                <w:position w:val="0"/>
                <w:sz w:val="22"/>
                <w:szCs w:val="22"/>
              </w:rPr>
              <w:t>。</w:t>
            </w:r>
          </w:p>
        </w:tc>
      </w:tr>
      <w:tr>
        <w:tblPrEx>
          <w:tblCellMar>
            <w:top w:w="0" w:type="dxa"/>
            <w:left w:w="10" w:type="dxa"/>
            <w:bottom w:w="0" w:type="dxa"/>
            <w:right w:w="10" w:type="dxa"/>
          </w:tblCellMar>
        </w:tblPrEx>
        <w:trPr>
          <w:trHeight w:val="969" w:hRule="exact"/>
          <w:jc w:val="center"/>
        </w:trPr>
        <w:tc>
          <w:tcPr>
            <w:tcW w:w="696" w:type="dxa"/>
            <w:vMerge w:val="continue"/>
            <w:tcBorders>
              <w:left w:val="single" w:color="auto" w:sz="4" w:space="0"/>
            </w:tcBorders>
            <w:shd w:val="clear" w:color="auto" w:fill="FFFFFF"/>
            <w:vAlign w:val="center"/>
          </w:tcPr>
          <w:p>
            <w:pPr>
              <w:ind w:left="0" w:leftChars="0" w:right="0" w:rightChars="0" w:firstLine="0" w:firstLineChars="0"/>
              <w:rPr>
                <w:color w:val="auto"/>
                <w:sz w:val="21"/>
                <w:szCs w:val="21"/>
              </w:rPr>
            </w:pP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leftChars="0" w:right="0" w:rightChars="0" w:firstLine="0" w:firstLineChars="0"/>
              <w:jc w:val="left"/>
              <w:rPr>
                <w:color w:val="auto"/>
                <w:sz w:val="22"/>
                <w:szCs w:val="22"/>
              </w:rPr>
            </w:pPr>
            <w:r>
              <w:rPr>
                <w:rFonts w:hint="eastAsia" w:ascii="Times New Roman" w:hAnsi="Times New Roman" w:cs="Times New Roman"/>
                <w:b/>
                <w:bCs/>
                <w:color w:val="auto"/>
                <w:spacing w:val="0"/>
                <w:w w:val="100"/>
                <w:position w:val="0"/>
                <w:sz w:val="22"/>
                <w:szCs w:val="22"/>
                <w:lang w:val="en-US" w:eastAsia="zh-CN"/>
              </w:rPr>
              <w:t>5-3</w:t>
            </w:r>
            <w:r>
              <w:rPr>
                <w:rFonts w:hint="eastAsia" w:ascii="Times New Roman" w:hAnsi="Times New Roman" w:cs="Times New Roman"/>
                <w:b w:val="0"/>
                <w:bCs w:val="0"/>
                <w:color w:val="auto"/>
                <w:spacing w:val="0"/>
                <w:w w:val="100"/>
                <w:position w:val="0"/>
                <w:sz w:val="22"/>
                <w:szCs w:val="22"/>
                <w:lang w:val="en-US" w:eastAsia="zh-CN"/>
              </w:rPr>
              <w:t>师资培养（1分）</w:t>
            </w:r>
          </w:p>
        </w:tc>
        <w:tc>
          <w:tcPr>
            <w:tcW w:w="6120" w:type="dxa"/>
            <w:tcBorders>
              <w:top w:val="single" w:color="auto" w:sz="4" w:space="0"/>
              <w:left w:val="single" w:color="auto" w:sz="4" w:space="0"/>
            </w:tcBorders>
            <w:shd w:val="clear" w:color="auto" w:fill="FFFFFF"/>
            <w:vAlign w:val="center"/>
          </w:tcPr>
          <w:p>
            <w:pPr>
              <w:pStyle w:val="19"/>
              <w:keepNext w:val="0"/>
              <w:keepLines w:val="0"/>
              <w:widowControl w:val="0"/>
              <w:numPr>
                <w:ilvl w:val="0"/>
                <w:numId w:val="0"/>
              </w:numPr>
              <w:shd w:val="clear" w:color="auto" w:fill="auto"/>
              <w:tabs>
                <w:tab w:val="left" w:pos="192"/>
              </w:tabs>
              <w:bidi w:val="0"/>
              <w:spacing w:before="0" w:after="0" w:line="240" w:lineRule="auto"/>
              <w:ind w:left="0" w:leftChars="0" w:right="0" w:rightChars="0" w:firstLine="0" w:firstLineChars="0"/>
              <w:jc w:val="left"/>
              <w:rPr>
                <w:color w:val="auto"/>
                <w:sz w:val="22"/>
                <w:szCs w:val="22"/>
              </w:rPr>
            </w:pPr>
            <w:r>
              <w:rPr>
                <w:rFonts w:hint="eastAsia"/>
                <w:color w:val="auto"/>
                <w:spacing w:val="0"/>
                <w:w w:val="100"/>
                <w:position w:val="0"/>
                <w:sz w:val="22"/>
                <w:szCs w:val="22"/>
                <w:lang w:val="en-US" w:eastAsia="zh-CN"/>
              </w:rPr>
              <w:t>有服务兄弟院校及企业的师资培养项目</w:t>
            </w:r>
          </w:p>
        </w:tc>
        <w:tc>
          <w:tcPr>
            <w:tcW w:w="2520" w:type="dxa"/>
            <w:tcBorders>
              <w:top w:val="single" w:color="auto" w:sz="4" w:space="0"/>
              <w:left w:val="single" w:color="auto" w:sz="4" w:space="0"/>
            </w:tcBorders>
            <w:shd w:val="clear" w:color="auto" w:fill="FFFFFF"/>
            <w:vAlign w:val="top"/>
          </w:tcPr>
          <w:p>
            <w:pPr>
              <w:widowControl w:val="0"/>
              <w:ind w:left="0" w:leftChars="0" w:right="0" w:rightChars="0" w:firstLine="0" w:firstLineChars="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ind w:left="0" w:leftChars="0" w:right="0" w:rightChars="0" w:firstLine="0" w:firstLineChars="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300" w:lineRule="exact"/>
              <w:ind w:left="0" w:leftChars="0" w:right="0" w:rightChars="0" w:firstLine="0" w:firstLineChars="0"/>
              <w:jc w:val="left"/>
              <w:rPr>
                <w:color w:val="auto"/>
                <w:sz w:val="22"/>
                <w:szCs w:val="22"/>
              </w:rPr>
            </w:pPr>
            <w:r>
              <w:rPr>
                <w:rFonts w:hint="eastAsia"/>
                <w:color w:val="auto"/>
                <w:spacing w:val="0"/>
                <w:w w:val="100"/>
                <w:position w:val="0"/>
                <w:sz w:val="22"/>
                <w:szCs w:val="22"/>
                <w:lang w:val="en-US" w:eastAsia="zh-CN"/>
              </w:rPr>
              <w:t>查培养方案、落实情况</w:t>
            </w:r>
          </w:p>
        </w:tc>
      </w:tr>
      <w:tr>
        <w:tblPrEx>
          <w:tblCellMar>
            <w:top w:w="0" w:type="dxa"/>
            <w:left w:w="10" w:type="dxa"/>
            <w:bottom w:w="0" w:type="dxa"/>
            <w:right w:w="10" w:type="dxa"/>
          </w:tblCellMar>
        </w:tblPrEx>
        <w:trPr>
          <w:trHeight w:val="1426" w:hRule="exact"/>
          <w:jc w:val="center"/>
        </w:trPr>
        <w:tc>
          <w:tcPr>
            <w:tcW w:w="696"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82" w:lineRule="exact"/>
              <w:ind w:left="0" w:leftChars="0" w:right="0" w:firstLine="0" w:firstLine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六、</w:t>
            </w:r>
          </w:p>
          <w:p>
            <w:pPr>
              <w:pStyle w:val="19"/>
              <w:keepNext w:val="0"/>
              <w:keepLines w:val="0"/>
              <w:widowControl w:val="0"/>
              <w:shd w:val="clear" w:color="auto" w:fill="auto"/>
              <w:bidi w:val="0"/>
              <w:spacing w:before="0" w:after="0" w:line="282" w:lineRule="exact"/>
              <w:ind w:left="0" w:leftChars="0" w:right="0" w:firstLine="0" w:firstLineChars="0"/>
              <w:jc w:val="left"/>
              <w:rPr>
                <w:color w:val="auto"/>
                <w:sz w:val="22"/>
                <w:szCs w:val="22"/>
              </w:rPr>
            </w:pPr>
            <w:r>
              <w:rPr>
                <w:rFonts w:hint="eastAsia"/>
                <w:color w:val="auto"/>
                <w:spacing w:val="0"/>
                <w:w w:val="100"/>
                <w:position w:val="0"/>
                <w:sz w:val="22"/>
                <w:szCs w:val="22"/>
                <w:lang w:val="en-US" w:eastAsia="zh-CN"/>
              </w:rPr>
              <w:t>教学资源建设</w:t>
            </w:r>
            <w:r>
              <w:rPr>
                <w:color w:val="auto"/>
                <w:spacing w:val="0"/>
                <w:w w:val="100"/>
                <w:position w:val="0"/>
                <w:sz w:val="22"/>
                <w:szCs w:val="22"/>
              </w:rPr>
              <w:t>（</w:t>
            </w:r>
            <w:r>
              <w:rPr>
                <w:rFonts w:hint="eastAsia"/>
                <w:color w:val="auto"/>
                <w:spacing w:val="0"/>
                <w:w w:val="100"/>
                <w:position w:val="0"/>
                <w:sz w:val="22"/>
                <w:szCs w:val="22"/>
                <w:lang w:val="en-US" w:eastAsia="zh-CN"/>
              </w:rPr>
              <w:t>5</w:t>
            </w:r>
            <w:r>
              <w:rPr>
                <w:rFonts w:ascii="Times New Roman" w:hAnsi="Times New Roman" w:eastAsia="Times New Roman" w:cs="Times New Roman"/>
                <w:b/>
                <w:bCs/>
                <w:color w:val="auto"/>
                <w:spacing w:val="0"/>
                <w:w w:val="100"/>
                <w:position w:val="0"/>
                <w:sz w:val="24"/>
                <w:szCs w:val="24"/>
              </w:rPr>
              <w:t xml:space="preserve"> </w:t>
            </w:r>
            <w:r>
              <w:rPr>
                <w:color w:val="auto"/>
                <w:spacing w:val="0"/>
                <w:w w:val="100"/>
                <w:position w:val="0"/>
                <w:sz w:val="22"/>
                <w:szCs w:val="22"/>
              </w:rPr>
              <w:t>分）</w:t>
            </w:r>
          </w:p>
          <w:p>
            <w:pPr>
              <w:pStyle w:val="19"/>
              <w:keepNext w:val="0"/>
              <w:keepLines w:val="0"/>
              <w:widowControl w:val="0"/>
              <w:shd w:val="clear" w:color="auto" w:fill="auto"/>
              <w:bidi w:val="0"/>
              <w:spacing w:before="0" w:after="0" w:line="300" w:lineRule="exact"/>
              <w:ind w:left="0" w:right="0" w:firstLine="0"/>
              <w:jc w:val="left"/>
              <w:rPr>
                <w:color w:val="auto"/>
                <w:sz w:val="22"/>
                <w:szCs w:val="22"/>
              </w:rPr>
            </w:pP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00" w:lineRule="exact"/>
              <w:ind w:left="0" w:right="0" w:firstLine="0"/>
              <w:jc w:val="left"/>
              <w:rPr>
                <w:rFonts w:hint="default" w:eastAsia="宋体"/>
                <w:color w:val="auto"/>
                <w:sz w:val="22"/>
                <w:szCs w:val="22"/>
                <w:lang w:val="en-US" w:eastAsia="zh-CN"/>
              </w:rPr>
            </w:pPr>
            <w:r>
              <w:rPr>
                <w:rFonts w:hint="eastAsia" w:ascii="Times New Roman" w:hAnsi="Times New Roman" w:eastAsia="Times New Roman" w:cs="Times New Roman"/>
                <w:b/>
                <w:bCs/>
                <w:color w:val="auto"/>
                <w:spacing w:val="0"/>
                <w:w w:val="100"/>
                <w:position w:val="0"/>
                <w:sz w:val="24"/>
                <w:szCs w:val="24"/>
                <w:lang w:val="en-US" w:eastAsia="zh-CN" w:bidi="zh-CN"/>
              </w:rPr>
              <w:t>6</w:t>
            </w:r>
            <w:r>
              <w:rPr>
                <w:rFonts w:ascii="Times New Roman" w:hAnsi="Times New Roman" w:eastAsia="Times New Roman" w:cs="Times New Roman"/>
                <w:b/>
                <w:bCs/>
                <w:color w:val="auto"/>
                <w:spacing w:val="0"/>
                <w:w w:val="100"/>
                <w:position w:val="0"/>
                <w:sz w:val="24"/>
                <w:szCs w:val="24"/>
                <w:lang w:val="zh-CN" w:eastAsia="zh-CN" w:bidi="zh-CN"/>
              </w:rPr>
              <w:t>-1</w:t>
            </w:r>
            <w:r>
              <w:rPr>
                <w:color w:val="auto"/>
                <w:spacing w:val="0"/>
                <w:w w:val="100"/>
                <w:position w:val="0"/>
                <w:sz w:val="22"/>
                <w:szCs w:val="22"/>
              </w:rPr>
              <w:t>专业</w:t>
            </w:r>
            <w:r>
              <w:rPr>
                <w:rFonts w:hint="eastAsia"/>
                <w:color w:val="auto"/>
                <w:spacing w:val="0"/>
                <w:w w:val="100"/>
                <w:position w:val="0"/>
                <w:sz w:val="22"/>
                <w:szCs w:val="22"/>
                <w:lang w:val="en-US" w:eastAsia="zh-CN"/>
              </w:rPr>
              <w:t>主干课程教学资源</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4"/>
                <w:szCs w:val="24"/>
              </w:rPr>
              <w:t>（</w:t>
            </w:r>
            <w:r>
              <w:rPr>
                <w:rFonts w:hint="eastAsia" w:ascii="Times New Roman" w:hAnsi="Times New Roman" w:cs="Times New Roman"/>
                <w:b/>
                <w:bCs/>
                <w:color w:val="auto"/>
                <w:spacing w:val="0"/>
                <w:w w:val="100"/>
                <w:position w:val="0"/>
                <w:sz w:val="24"/>
                <w:szCs w:val="24"/>
                <w:lang w:val="en-US" w:eastAsia="zh-CN"/>
              </w:rPr>
              <w:t>3</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①有教学资源开发整理计划</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4"/>
                <w:szCs w:val="24"/>
              </w:rPr>
            </w:pPr>
            <w:r>
              <w:rPr>
                <w:rFonts w:hint="eastAsia"/>
                <w:color w:val="auto"/>
                <w:spacing w:val="0"/>
                <w:w w:val="100"/>
                <w:position w:val="0"/>
                <w:sz w:val="22"/>
                <w:szCs w:val="22"/>
                <w:lang w:val="en-US" w:eastAsia="zh-CN"/>
              </w:rPr>
              <w:t>②有专业资源体系，每个教学环节均有完整的教学资源</w:t>
            </w:r>
            <w:r>
              <w:rPr>
                <w:rFonts w:ascii="Times New Roman" w:hAnsi="Times New Roman" w:eastAsia="Times New Roman" w:cs="Times New Roman"/>
                <w:b/>
                <w:bCs/>
                <w:color w:val="auto"/>
                <w:spacing w:val="0"/>
                <w:w w:val="100"/>
                <w:position w:val="0"/>
                <w:sz w:val="24"/>
                <w:szCs w:val="24"/>
              </w:rPr>
              <w:t>;</w:t>
            </w: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rFonts w:hint="default" w:eastAsia="宋体"/>
                <w:color w:val="auto"/>
                <w:sz w:val="24"/>
                <w:szCs w:val="24"/>
                <w:lang w:val="en-US" w:eastAsia="zh-CN"/>
              </w:rPr>
            </w:pPr>
            <w:r>
              <w:rPr>
                <w:rFonts w:hint="eastAsia"/>
                <w:color w:val="auto"/>
                <w:spacing w:val="0"/>
                <w:w w:val="100"/>
                <w:position w:val="0"/>
                <w:sz w:val="22"/>
                <w:szCs w:val="22"/>
                <w:lang w:val="en-US" w:eastAsia="zh-CN"/>
              </w:rPr>
              <w:t>③专业教学资源内容丰富;建成集纸质与电子的资源于一体的教学资源库。</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 xml:space="preserve"> </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2"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w:t>
            </w:r>
            <w:r>
              <w:rPr>
                <w:rFonts w:hint="eastAsia"/>
                <w:color w:val="auto"/>
                <w:spacing w:val="0"/>
                <w:w w:val="100"/>
                <w:position w:val="0"/>
                <w:sz w:val="22"/>
                <w:szCs w:val="22"/>
                <w:lang w:val="en-US" w:eastAsia="zh-CN"/>
              </w:rPr>
              <w:t>计划</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282"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w:t>
            </w:r>
            <w:r>
              <w:rPr>
                <w:rFonts w:hint="eastAsia"/>
                <w:color w:val="auto"/>
                <w:spacing w:val="0"/>
                <w:w w:val="100"/>
                <w:position w:val="0"/>
                <w:sz w:val="22"/>
                <w:szCs w:val="22"/>
                <w:lang w:val="en-US" w:eastAsia="zh-CN"/>
              </w:rPr>
              <w:t>资源、资料及体系目录</w:t>
            </w:r>
            <w:r>
              <w:rPr>
                <w:color w:val="auto"/>
                <w:spacing w:val="0"/>
                <w:w w:val="100"/>
                <w:position w:val="0"/>
                <w:sz w:val="22"/>
                <w:szCs w:val="22"/>
              </w:rPr>
              <w:t>。</w:t>
            </w:r>
          </w:p>
        </w:tc>
      </w:tr>
      <w:tr>
        <w:tblPrEx>
          <w:tblCellMar>
            <w:top w:w="0" w:type="dxa"/>
            <w:left w:w="10" w:type="dxa"/>
            <w:bottom w:w="0" w:type="dxa"/>
            <w:right w:w="10" w:type="dxa"/>
          </w:tblCellMar>
        </w:tblPrEx>
        <w:trPr>
          <w:trHeight w:val="1211" w:hRule="exact"/>
          <w:jc w:val="center"/>
        </w:trPr>
        <w:tc>
          <w:tcPr>
            <w:tcW w:w="696" w:type="dxa"/>
            <w:vMerge w:val="continue"/>
            <w:tcBorders>
              <w:left w:val="single" w:color="auto" w:sz="4" w:space="0"/>
            </w:tcBorders>
            <w:shd w:val="clear" w:color="auto" w:fill="FFFFFF"/>
            <w:vAlign w:val="center"/>
          </w:tcPr>
          <w:p>
            <w:pPr>
              <w:rPr>
                <w:color w:val="auto"/>
                <w:sz w:val="21"/>
                <w:szCs w:val="21"/>
              </w:rPr>
            </w:pP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left"/>
              <w:rPr>
                <w:rFonts w:hint="default" w:eastAsia="宋体"/>
                <w:b w:val="0"/>
                <w:bCs w:val="0"/>
                <w:color w:val="auto"/>
                <w:sz w:val="22"/>
                <w:szCs w:val="22"/>
                <w:lang w:val="en-US" w:eastAsia="zh-CN"/>
              </w:rPr>
            </w:pPr>
            <w:r>
              <w:rPr>
                <w:rFonts w:hint="eastAsia" w:ascii="Times New Roman" w:hAnsi="Times New Roman" w:cs="Times New Roman"/>
                <w:b/>
                <w:bCs/>
                <w:color w:val="auto"/>
                <w:spacing w:val="0"/>
                <w:w w:val="100"/>
                <w:position w:val="0"/>
                <w:sz w:val="22"/>
                <w:szCs w:val="22"/>
                <w:lang w:val="en-US" w:eastAsia="zh-CN"/>
              </w:rPr>
              <w:t>6</w:t>
            </w:r>
            <w:r>
              <w:rPr>
                <w:rFonts w:ascii="Times New Roman" w:hAnsi="Times New Roman" w:eastAsia="Times New Roman" w:cs="Times New Roman"/>
                <w:b/>
                <w:bCs/>
                <w:color w:val="auto"/>
                <w:spacing w:val="0"/>
                <w:w w:val="100"/>
                <w:position w:val="0"/>
                <w:sz w:val="22"/>
                <w:szCs w:val="22"/>
              </w:rPr>
              <w:t>-2</w:t>
            </w:r>
            <w:r>
              <w:rPr>
                <w:rFonts w:hint="eastAsia" w:ascii="Times New Roman" w:hAnsi="Times New Roman" w:cs="Times New Roman"/>
                <w:b w:val="0"/>
                <w:bCs w:val="0"/>
                <w:color w:val="auto"/>
                <w:spacing w:val="0"/>
                <w:w w:val="100"/>
                <w:position w:val="0"/>
                <w:sz w:val="22"/>
                <w:szCs w:val="22"/>
                <w:lang w:val="en-US" w:eastAsia="zh-CN"/>
              </w:rPr>
              <w:t>现代教育技术的运用</w:t>
            </w:r>
          </w:p>
          <w:p>
            <w:pPr>
              <w:pStyle w:val="19"/>
              <w:keepNext w:val="0"/>
              <w:keepLines w:val="0"/>
              <w:widowControl w:val="0"/>
              <w:shd w:val="clear" w:color="auto" w:fill="auto"/>
              <w:bidi w:val="0"/>
              <w:spacing w:before="0" w:after="0" w:line="240" w:lineRule="auto"/>
              <w:ind w:left="0" w:right="0" w:firstLine="160"/>
              <w:jc w:val="left"/>
              <w:rPr>
                <w:color w:val="auto"/>
                <w:sz w:val="22"/>
                <w:szCs w:val="22"/>
              </w:rPr>
            </w:pPr>
            <w:r>
              <w:rPr>
                <w:rFonts w:ascii="Times New Roman" w:hAnsi="Times New Roman" w:eastAsia="Times New Roman" w:cs="Times New Roman"/>
                <w:b w:val="0"/>
                <w:bCs w:val="0"/>
                <w:color w:val="auto"/>
                <w:spacing w:val="0"/>
                <w:w w:val="100"/>
                <w:position w:val="0"/>
                <w:sz w:val="22"/>
                <w:szCs w:val="22"/>
              </w:rPr>
              <w:t>（</w:t>
            </w:r>
            <w:r>
              <w:rPr>
                <w:rFonts w:hint="eastAsia" w:ascii="Times New Roman" w:hAnsi="Times New Roman" w:cs="Times New Roman"/>
                <w:b w:val="0"/>
                <w:bCs w:val="0"/>
                <w:color w:val="auto"/>
                <w:spacing w:val="0"/>
                <w:w w:val="100"/>
                <w:position w:val="0"/>
                <w:sz w:val="22"/>
                <w:szCs w:val="22"/>
                <w:lang w:val="en-US" w:eastAsia="zh-CN"/>
              </w:rPr>
              <w:t>2</w:t>
            </w:r>
            <w:r>
              <w:rPr>
                <w:b w:val="0"/>
                <w:bCs w:val="0"/>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rFonts w:hint="eastAsia"/>
                <w:color w:val="auto"/>
                <w:spacing w:val="0"/>
                <w:w w:val="100"/>
                <w:position w:val="0"/>
                <w:sz w:val="22"/>
                <w:szCs w:val="22"/>
                <w:lang w:val="en-US" w:eastAsia="zh-CN"/>
              </w:rPr>
            </w:pP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rFonts w:hint="default"/>
                <w:color w:val="auto"/>
                <w:sz w:val="22"/>
                <w:szCs w:val="22"/>
                <w:lang w:val="en-US"/>
              </w:rPr>
            </w:pPr>
            <w:r>
              <w:rPr>
                <w:rFonts w:hint="eastAsia"/>
                <w:color w:val="auto"/>
                <w:spacing w:val="0"/>
                <w:w w:val="100"/>
                <w:position w:val="0"/>
                <w:sz w:val="22"/>
                <w:szCs w:val="22"/>
                <w:lang w:val="en-US" w:eastAsia="zh-CN"/>
              </w:rPr>
              <w:t>在校园网上建有学习平台，学习资源库，充分利用网络教学平台，实现资源共享。</w:t>
            </w: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rFonts w:hint="eastAsia"/>
                <w:color w:val="auto"/>
                <w:spacing w:val="0"/>
                <w:w w:val="100"/>
                <w:position w:val="0"/>
                <w:sz w:val="22"/>
                <w:szCs w:val="22"/>
                <w:lang w:val="en-US" w:eastAsia="zh-CN"/>
              </w:rPr>
            </w:pP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rFonts w:hint="default"/>
                <w:color w:val="auto"/>
                <w:sz w:val="22"/>
                <w:szCs w:val="22"/>
                <w:lang w:val="en-US"/>
              </w:rPr>
            </w:pPr>
            <w:r>
              <w:rPr>
                <w:rFonts w:hint="eastAsia"/>
                <w:color w:val="auto"/>
                <w:spacing w:val="0"/>
                <w:w w:val="100"/>
                <w:position w:val="0"/>
                <w:sz w:val="22"/>
                <w:szCs w:val="22"/>
                <w:lang w:val="en-US" w:eastAsia="zh-CN"/>
              </w:rPr>
              <w:t>查网站</w:t>
            </w:r>
          </w:p>
        </w:tc>
      </w:tr>
      <w:tr>
        <w:tblPrEx>
          <w:tblCellMar>
            <w:top w:w="0" w:type="dxa"/>
            <w:left w:w="10" w:type="dxa"/>
            <w:bottom w:w="0" w:type="dxa"/>
            <w:right w:w="10" w:type="dxa"/>
          </w:tblCellMar>
        </w:tblPrEx>
        <w:trPr>
          <w:trHeight w:val="1319" w:hRule="exact"/>
          <w:jc w:val="center"/>
        </w:trPr>
        <w:tc>
          <w:tcPr>
            <w:tcW w:w="696" w:type="dxa"/>
            <w:vMerge w:val="restart"/>
            <w:tcBorders>
              <w:top w:val="single" w:color="auto" w:sz="4" w:space="0"/>
              <w:left w:val="single" w:color="auto" w:sz="4" w:space="0"/>
            </w:tcBorders>
            <w:shd w:val="clear" w:color="auto" w:fill="FFFFFF"/>
            <w:vAlign w:val="top"/>
          </w:tcPr>
          <w:p>
            <w:pPr>
              <w:widowControl w:val="0"/>
              <w:rPr>
                <w:rFonts w:hint="default" w:eastAsia="宋体"/>
                <w:color w:val="auto"/>
                <w:sz w:val="6"/>
                <w:szCs w:val="6"/>
                <w:lang w:val="en-US" w:eastAsia="zh-CN"/>
              </w:rPr>
            </w:pPr>
          </w:p>
          <w:p>
            <w:pPr>
              <w:widowControl w:val="0"/>
              <w:rPr>
                <w:rFonts w:hint="default" w:eastAsia="宋体"/>
                <w:color w:val="auto"/>
                <w:sz w:val="6"/>
                <w:szCs w:val="6"/>
                <w:lang w:val="en-US" w:eastAsia="zh-CN"/>
              </w:rPr>
            </w:pPr>
          </w:p>
          <w:p>
            <w:pPr>
              <w:widowControl w:val="0"/>
              <w:rPr>
                <w:rFonts w:hint="default" w:eastAsia="宋体"/>
                <w:color w:val="auto"/>
                <w:sz w:val="6"/>
                <w:szCs w:val="6"/>
                <w:lang w:val="en-US" w:eastAsia="zh-CN"/>
              </w:rPr>
            </w:pPr>
          </w:p>
          <w:p>
            <w:pPr>
              <w:pStyle w:val="19"/>
              <w:keepNext w:val="0"/>
              <w:keepLines w:val="0"/>
              <w:widowControl w:val="0"/>
              <w:shd w:val="clear" w:color="auto" w:fill="auto"/>
              <w:bidi w:val="0"/>
              <w:spacing w:before="0" w:after="0" w:line="282" w:lineRule="exact"/>
              <w:ind w:left="0" w:leftChars="0" w:right="0" w:firstLine="0" w:firstLine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七、</w:t>
            </w:r>
          </w:p>
          <w:p>
            <w:pPr>
              <w:widowControl w:val="0"/>
              <w:rPr>
                <w:rFonts w:hint="default" w:eastAsia="宋体"/>
                <w:color w:val="auto"/>
                <w:sz w:val="6"/>
                <w:szCs w:val="6"/>
                <w:lang w:val="en-US" w:eastAsia="zh-CN"/>
              </w:rPr>
            </w:pPr>
            <w:r>
              <w:rPr>
                <w:rFonts w:hint="eastAsia" w:eastAsia="宋体"/>
                <w:color w:val="auto"/>
                <w:spacing w:val="0"/>
                <w:w w:val="100"/>
                <w:position w:val="0"/>
                <w:sz w:val="22"/>
                <w:szCs w:val="22"/>
                <w:lang w:val="en-US" w:eastAsia="zh-CN"/>
              </w:rPr>
              <w:t>人才培养质量保障体系建设</w:t>
            </w:r>
            <w:r>
              <w:rPr>
                <w:color w:val="auto"/>
                <w:spacing w:val="0"/>
                <w:w w:val="100"/>
                <w:position w:val="0"/>
                <w:sz w:val="22"/>
                <w:szCs w:val="22"/>
              </w:rPr>
              <w:t>（</w:t>
            </w:r>
            <w:r>
              <w:rPr>
                <w:rFonts w:hint="eastAsia" w:eastAsia="宋体"/>
                <w:color w:val="auto"/>
                <w:spacing w:val="0"/>
                <w:w w:val="100"/>
                <w:position w:val="0"/>
                <w:sz w:val="22"/>
                <w:szCs w:val="22"/>
                <w:lang w:val="en-US" w:eastAsia="zh-CN"/>
              </w:rPr>
              <w:t>8</w:t>
            </w:r>
            <w:r>
              <w:rPr>
                <w:color w:val="auto"/>
                <w:spacing w:val="0"/>
                <w:w w:val="100"/>
                <w:position w:val="0"/>
                <w:sz w:val="22"/>
                <w:szCs w:val="22"/>
              </w:rPr>
              <w:t>分）</w:t>
            </w: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00" w:lineRule="exact"/>
              <w:ind w:left="0" w:right="0" w:firstLine="0"/>
              <w:jc w:val="left"/>
              <w:rPr>
                <w:color w:val="auto"/>
                <w:sz w:val="22"/>
                <w:szCs w:val="22"/>
              </w:rPr>
            </w:pPr>
            <w:r>
              <w:rPr>
                <w:rFonts w:hint="eastAsia" w:ascii="Times New Roman" w:hAnsi="Times New Roman" w:eastAsia="Times New Roman" w:cs="Times New Roman"/>
                <w:b/>
                <w:bCs/>
                <w:color w:val="auto"/>
                <w:spacing w:val="0"/>
                <w:w w:val="100"/>
                <w:position w:val="0"/>
                <w:sz w:val="22"/>
                <w:szCs w:val="22"/>
                <w:lang w:val="en-US" w:eastAsia="zh-CN" w:bidi="zh-CN"/>
              </w:rPr>
              <w:t>7</w:t>
            </w:r>
            <w:r>
              <w:rPr>
                <w:rFonts w:ascii="Times New Roman" w:hAnsi="Times New Roman" w:eastAsia="Times New Roman" w:cs="Times New Roman"/>
                <w:b/>
                <w:bCs/>
                <w:color w:val="auto"/>
                <w:spacing w:val="0"/>
                <w:w w:val="100"/>
                <w:position w:val="0"/>
                <w:sz w:val="22"/>
                <w:szCs w:val="22"/>
                <w:lang w:val="zh-CN" w:eastAsia="zh-CN" w:bidi="zh-CN"/>
              </w:rPr>
              <w:t>-1</w:t>
            </w:r>
            <w:r>
              <w:rPr>
                <w:rFonts w:hint="eastAsia" w:ascii="Times New Roman" w:hAnsi="Times New Roman" w:eastAsia="Times New Roman" w:cs="Times New Roman"/>
                <w:b w:val="0"/>
                <w:bCs w:val="0"/>
                <w:color w:val="auto"/>
                <w:spacing w:val="0"/>
                <w:w w:val="100"/>
                <w:position w:val="0"/>
                <w:sz w:val="22"/>
                <w:szCs w:val="22"/>
                <w:lang w:val="en-US" w:eastAsia="zh-CN" w:bidi="zh-CN"/>
              </w:rPr>
              <w:t>教学档案与教学文件管理</w:t>
            </w:r>
            <w:r>
              <w:rPr>
                <w:rFonts w:ascii="Times New Roman" w:hAnsi="Times New Roman" w:eastAsia="Times New Roman" w:cs="Times New Roman"/>
                <w:b/>
                <w:bCs/>
                <w:color w:val="auto"/>
                <w:spacing w:val="0"/>
                <w:w w:val="100"/>
                <w:position w:val="0"/>
                <w:sz w:val="24"/>
                <w:szCs w:val="24"/>
              </w:rPr>
              <w:t>（</w:t>
            </w:r>
            <w:r>
              <w:rPr>
                <w:rFonts w:hint="eastAsia" w:ascii="Times New Roman" w:hAnsi="Times New Roman" w:cs="Times New Roman"/>
                <w:b/>
                <w:bCs/>
                <w:color w:val="auto"/>
                <w:spacing w:val="0"/>
                <w:w w:val="100"/>
                <w:position w:val="0"/>
                <w:sz w:val="24"/>
                <w:szCs w:val="24"/>
                <w:lang w:val="en-US" w:eastAsia="zh-CN"/>
              </w:rPr>
              <w:t>4</w:t>
            </w:r>
            <w:r>
              <w:rPr>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①专业教学基本文件和教学管理档案保存齐备</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4"/>
                <w:szCs w:val="24"/>
              </w:rPr>
            </w:pPr>
            <w:r>
              <w:rPr>
                <w:rFonts w:hint="eastAsia"/>
                <w:color w:val="auto"/>
                <w:spacing w:val="0"/>
                <w:w w:val="100"/>
                <w:position w:val="0"/>
                <w:sz w:val="22"/>
                <w:szCs w:val="22"/>
                <w:lang w:val="en-US" w:eastAsia="zh-CN"/>
              </w:rPr>
              <w:t>②分类清晰，客观</w:t>
            </w:r>
            <w:r>
              <w:rPr>
                <w:rFonts w:ascii="Times New Roman" w:hAnsi="Times New Roman" w:eastAsia="Times New Roman" w:cs="Times New Roman"/>
                <w:b/>
                <w:bCs/>
                <w:color w:val="auto"/>
                <w:spacing w:val="0"/>
                <w:w w:val="100"/>
                <w:position w:val="0"/>
                <w:sz w:val="24"/>
                <w:szCs w:val="24"/>
              </w:rPr>
              <w:t>;</w:t>
            </w: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rFonts w:hint="default" w:eastAsia="宋体"/>
                <w:color w:val="auto"/>
                <w:sz w:val="24"/>
                <w:szCs w:val="24"/>
                <w:lang w:val="en-US" w:eastAsia="zh-CN"/>
              </w:rPr>
            </w:pPr>
            <w:r>
              <w:rPr>
                <w:rFonts w:hint="eastAsia"/>
                <w:color w:val="auto"/>
                <w:spacing w:val="0"/>
                <w:w w:val="100"/>
                <w:position w:val="0"/>
                <w:sz w:val="22"/>
                <w:szCs w:val="22"/>
                <w:lang w:val="en-US" w:eastAsia="zh-CN"/>
              </w:rPr>
              <w:t>③准群记录教学过程和质量。</w:t>
            </w:r>
          </w:p>
          <w:p>
            <w:pPr>
              <w:pStyle w:val="19"/>
              <w:keepNext w:val="0"/>
              <w:keepLines w:val="0"/>
              <w:widowControl w:val="0"/>
              <w:numPr>
                <w:ilvl w:val="0"/>
                <w:numId w:val="0"/>
              </w:numPr>
              <w:shd w:val="clear" w:color="auto" w:fill="auto"/>
              <w:tabs>
                <w:tab w:val="left" w:pos="216"/>
              </w:tabs>
              <w:bidi w:val="0"/>
              <w:spacing w:before="0" w:after="0" w:line="240" w:lineRule="auto"/>
              <w:ind w:leftChars="0" w:right="0" w:rightChars="0"/>
              <w:jc w:val="left"/>
              <w:rPr>
                <w:color w:val="auto"/>
                <w:sz w:val="22"/>
                <w:szCs w:val="22"/>
              </w:rPr>
            </w:pP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5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w:t>
            </w:r>
            <w:r>
              <w:rPr>
                <w:rFonts w:hint="eastAsia"/>
                <w:color w:val="auto"/>
                <w:spacing w:val="0"/>
                <w:w w:val="100"/>
                <w:position w:val="0"/>
                <w:sz w:val="22"/>
                <w:szCs w:val="22"/>
                <w:lang w:val="en-US" w:eastAsia="zh-CN"/>
              </w:rPr>
              <w:t>专业教学档案</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5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w:t>
            </w:r>
            <w:r>
              <w:rPr>
                <w:rFonts w:hint="eastAsia"/>
                <w:color w:val="auto"/>
                <w:spacing w:val="0"/>
                <w:w w:val="100"/>
                <w:position w:val="0"/>
                <w:sz w:val="22"/>
                <w:szCs w:val="22"/>
                <w:lang w:val="en-US" w:eastAsia="zh-CN"/>
              </w:rPr>
              <w:t>专业教学文件</w:t>
            </w:r>
            <w:r>
              <w:rPr>
                <w:color w:val="auto"/>
                <w:spacing w:val="0"/>
                <w:w w:val="100"/>
                <w:position w:val="0"/>
                <w:sz w:val="22"/>
                <w:szCs w:val="22"/>
                <w:lang w:val="en-US" w:eastAsia="en-US" w:bidi="en-US"/>
              </w:rPr>
              <w:t>•</w:t>
            </w:r>
          </w:p>
        </w:tc>
      </w:tr>
      <w:tr>
        <w:tblPrEx>
          <w:tblCellMar>
            <w:top w:w="0" w:type="dxa"/>
            <w:left w:w="10" w:type="dxa"/>
            <w:bottom w:w="0" w:type="dxa"/>
            <w:right w:w="10" w:type="dxa"/>
          </w:tblCellMar>
        </w:tblPrEx>
        <w:trPr>
          <w:trHeight w:val="1500" w:hRule="exact"/>
          <w:jc w:val="center"/>
        </w:trPr>
        <w:tc>
          <w:tcPr>
            <w:tcW w:w="696" w:type="dxa"/>
            <w:vMerge w:val="continue"/>
            <w:tcBorders>
              <w:left w:val="single" w:color="auto" w:sz="4" w:space="0"/>
            </w:tcBorders>
            <w:shd w:val="clear" w:color="auto" w:fill="FFFFFF"/>
            <w:vAlign w:val="top"/>
          </w:tcPr>
          <w:p>
            <w:pPr>
              <w:widowControl w:val="0"/>
              <w:rPr>
                <w:color w:val="auto"/>
                <w:sz w:val="6"/>
                <w:szCs w:val="6"/>
              </w:rPr>
            </w:pPr>
          </w:p>
        </w:tc>
        <w:tc>
          <w:tcPr>
            <w:tcW w:w="1392"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12" w:lineRule="exact"/>
              <w:ind w:left="0" w:right="0" w:firstLine="0"/>
              <w:jc w:val="left"/>
              <w:rPr>
                <w:rFonts w:hint="default" w:eastAsia="宋体"/>
                <w:b w:val="0"/>
                <w:bCs w:val="0"/>
                <w:color w:val="auto"/>
                <w:sz w:val="22"/>
                <w:szCs w:val="22"/>
                <w:lang w:val="en-US" w:eastAsia="zh-CN"/>
              </w:rPr>
            </w:pPr>
            <w:r>
              <w:rPr>
                <w:rFonts w:hint="eastAsia" w:ascii="Times New Roman" w:hAnsi="Times New Roman" w:cs="Times New Roman"/>
                <w:b/>
                <w:bCs/>
                <w:color w:val="auto"/>
                <w:spacing w:val="0"/>
                <w:w w:val="100"/>
                <w:position w:val="0"/>
                <w:sz w:val="22"/>
                <w:szCs w:val="22"/>
                <w:lang w:val="en-US" w:eastAsia="zh-CN"/>
              </w:rPr>
              <w:t>7</w:t>
            </w:r>
            <w:r>
              <w:rPr>
                <w:rFonts w:ascii="Times New Roman" w:hAnsi="Times New Roman" w:eastAsia="Times New Roman" w:cs="Times New Roman"/>
                <w:b/>
                <w:bCs/>
                <w:color w:val="auto"/>
                <w:spacing w:val="0"/>
                <w:w w:val="100"/>
                <w:position w:val="0"/>
                <w:sz w:val="22"/>
                <w:szCs w:val="22"/>
              </w:rPr>
              <w:t>-2</w:t>
            </w:r>
            <w:r>
              <w:rPr>
                <w:rFonts w:hint="eastAsia" w:ascii="Times New Roman" w:hAnsi="Times New Roman" w:cs="Times New Roman"/>
                <w:b w:val="0"/>
                <w:bCs w:val="0"/>
                <w:color w:val="auto"/>
                <w:spacing w:val="0"/>
                <w:w w:val="100"/>
                <w:position w:val="0"/>
                <w:sz w:val="22"/>
                <w:szCs w:val="22"/>
                <w:lang w:val="en-US" w:eastAsia="zh-CN"/>
              </w:rPr>
              <w:t>教学质量提升机制</w:t>
            </w:r>
          </w:p>
          <w:p>
            <w:pPr>
              <w:pStyle w:val="19"/>
              <w:keepNext w:val="0"/>
              <w:keepLines w:val="0"/>
              <w:widowControl w:val="0"/>
              <w:shd w:val="clear" w:color="auto" w:fill="auto"/>
              <w:bidi w:val="0"/>
              <w:spacing w:before="0" w:after="0" w:line="240" w:lineRule="auto"/>
              <w:ind w:left="0" w:leftChars="0" w:right="0" w:rightChars="0" w:firstLine="160" w:firstLineChars="0"/>
              <w:jc w:val="left"/>
              <w:rPr>
                <w:rFonts w:ascii="Times New Roman" w:hAnsi="Times New Roman" w:eastAsia="Times New Roman" w:cs="Times New Roman"/>
                <w:b/>
                <w:bCs/>
                <w:color w:val="auto"/>
                <w:spacing w:val="0"/>
                <w:w w:val="100"/>
                <w:position w:val="0"/>
                <w:sz w:val="22"/>
                <w:szCs w:val="22"/>
              </w:rPr>
            </w:pPr>
            <w:r>
              <w:rPr>
                <w:rFonts w:ascii="Times New Roman" w:hAnsi="Times New Roman" w:eastAsia="Times New Roman" w:cs="Times New Roman"/>
                <w:b w:val="0"/>
                <w:bCs w:val="0"/>
                <w:color w:val="auto"/>
                <w:spacing w:val="0"/>
                <w:w w:val="100"/>
                <w:position w:val="0"/>
                <w:sz w:val="22"/>
                <w:szCs w:val="22"/>
              </w:rPr>
              <w:t>（</w:t>
            </w:r>
            <w:r>
              <w:rPr>
                <w:rFonts w:hint="eastAsia" w:ascii="Times New Roman" w:hAnsi="Times New Roman" w:cs="Times New Roman"/>
                <w:b w:val="0"/>
                <w:bCs w:val="0"/>
                <w:color w:val="auto"/>
                <w:spacing w:val="0"/>
                <w:w w:val="100"/>
                <w:position w:val="0"/>
                <w:sz w:val="22"/>
                <w:szCs w:val="22"/>
                <w:lang w:val="en-US" w:eastAsia="zh-CN"/>
              </w:rPr>
              <w:t>4</w:t>
            </w:r>
            <w:r>
              <w:rPr>
                <w:b w:val="0"/>
                <w:bCs w:val="0"/>
                <w:color w:val="auto"/>
                <w:spacing w:val="0"/>
                <w:w w:val="100"/>
                <w:position w:val="0"/>
                <w:sz w:val="22"/>
                <w:szCs w:val="22"/>
              </w:rPr>
              <w:t>分）</w:t>
            </w:r>
          </w:p>
        </w:tc>
        <w:tc>
          <w:tcPr>
            <w:tcW w:w="6120" w:type="dxa"/>
            <w:tcBorders>
              <w:top w:val="single" w:color="auto" w:sz="4" w:space="0"/>
              <w:lef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①开展了新生素质调查</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4"/>
                <w:szCs w:val="24"/>
              </w:rPr>
            </w:pPr>
            <w:r>
              <w:rPr>
                <w:rFonts w:hint="eastAsia"/>
                <w:color w:val="auto"/>
                <w:spacing w:val="0"/>
                <w:w w:val="100"/>
                <w:position w:val="0"/>
                <w:sz w:val="22"/>
                <w:szCs w:val="22"/>
                <w:lang w:val="en-US" w:eastAsia="zh-CN"/>
              </w:rPr>
              <w:t>②建立了毕业生质量跟踪调查机制，运行良好，反馈及时、准群</w:t>
            </w:r>
            <w:r>
              <w:rPr>
                <w:rFonts w:ascii="Times New Roman" w:hAnsi="Times New Roman" w:eastAsia="Times New Roman" w:cs="Times New Roman"/>
                <w:b/>
                <w:bCs/>
                <w:color w:val="auto"/>
                <w:spacing w:val="0"/>
                <w:w w:val="100"/>
                <w:position w:val="0"/>
                <w:sz w:val="24"/>
                <w:szCs w:val="24"/>
              </w:rPr>
              <w:t>;</w:t>
            </w: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③有针对性地制定并实施教学质量提升方案；</w:t>
            </w: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rFonts w:hint="default"/>
                <w:color w:val="auto"/>
                <w:spacing w:val="0"/>
                <w:w w:val="100"/>
                <w:position w:val="0"/>
                <w:sz w:val="22"/>
                <w:szCs w:val="22"/>
                <w:lang w:val="en-US" w:eastAsia="zh-CN"/>
              </w:rPr>
            </w:pPr>
            <w:r>
              <w:rPr>
                <w:rFonts w:hint="eastAsia"/>
                <w:color w:val="auto"/>
                <w:spacing w:val="0"/>
                <w:w w:val="100"/>
                <w:position w:val="0"/>
                <w:sz w:val="22"/>
                <w:szCs w:val="22"/>
                <w:lang w:val="en-US" w:eastAsia="zh-CN"/>
              </w:rPr>
              <w:t>④定期评价专业人才培养质量。</w:t>
            </w:r>
          </w:p>
          <w:p>
            <w:pPr>
              <w:pStyle w:val="19"/>
              <w:keepNext w:val="0"/>
              <w:keepLines w:val="0"/>
              <w:widowControl w:val="0"/>
              <w:numPr>
                <w:ilvl w:val="0"/>
                <w:numId w:val="0"/>
              </w:numPr>
              <w:shd w:val="clear" w:color="auto" w:fill="auto"/>
              <w:tabs>
                <w:tab w:val="left" w:pos="216"/>
              </w:tabs>
              <w:bidi w:val="0"/>
              <w:spacing w:before="0" w:after="0" w:line="240" w:lineRule="auto"/>
              <w:ind w:leftChars="0" w:right="0" w:rightChars="0"/>
              <w:jc w:val="left"/>
              <w:rPr>
                <w:rFonts w:hint="eastAsia"/>
                <w:color w:val="auto"/>
                <w:spacing w:val="0"/>
                <w:w w:val="100"/>
                <w:position w:val="0"/>
                <w:sz w:val="22"/>
                <w:szCs w:val="22"/>
                <w:lang w:val="en-US" w:eastAsia="zh-CN"/>
              </w:rPr>
            </w:pPr>
          </w:p>
        </w:tc>
        <w:tc>
          <w:tcPr>
            <w:tcW w:w="25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720" w:type="dxa"/>
            <w:tcBorders>
              <w:top w:val="single" w:color="auto" w:sz="4" w:space="0"/>
              <w:left w:val="single" w:color="auto" w:sz="4" w:space="0"/>
            </w:tcBorders>
            <w:shd w:val="clear" w:color="auto" w:fill="FFFFFF"/>
            <w:vAlign w:val="top"/>
          </w:tcPr>
          <w:p>
            <w:pPr>
              <w:widowControl w:val="0"/>
              <w:rPr>
                <w:color w:val="auto"/>
                <w:sz w:val="6"/>
                <w:szCs w:val="6"/>
              </w:rPr>
            </w:pPr>
          </w:p>
        </w:tc>
        <w:tc>
          <w:tcPr>
            <w:tcW w:w="3108"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5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①查新生调查资料</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52"/>
              </w:tabs>
              <w:bidi w:val="0"/>
              <w:spacing w:before="0" w:after="0" w:line="240" w:lineRule="auto"/>
              <w:ind w:leftChars="0" w:right="0" w:right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②</w:t>
            </w:r>
            <w:r>
              <w:rPr>
                <w:color w:val="auto"/>
                <w:spacing w:val="0"/>
                <w:w w:val="100"/>
                <w:position w:val="0"/>
                <w:sz w:val="22"/>
                <w:szCs w:val="22"/>
              </w:rPr>
              <w:t>查</w:t>
            </w:r>
            <w:r>
              <w:rPr>
                <w:rFonts w:hint="eastAsia"/>
                <w:color w:val="auto"/>
                <w:spacing w:val="0"/>
                <w:w w:val="100"/>
                <w:position w:val="0"/>
                <w:sz w:val="22"/>
                <w:szCs w:val="22"/>
                <w:lang w:val="en-US" w:eastAsia="zh-CN"/>
              </w:rPr>
              <w:t>毕业生调查反馈表；</w:t>
            </w:r>
          </w:p>
          <w:p>
            <w:pPr>
              <w:pStyle w:val="19"/>
              <w:keepNext w:val="0"/>
              <w:keepLines w:val="0"/>
              <w:widowControl w:val="0"/>
              <w:numPr>
                <w:ilvl w:val="0"/>
                <w:numId w:val="0"/>
              </w:numPr>
              <w:shd w:val="clear" w:color="auto" w:fill="auto"/>
              <w:tabs>
                <w:tab w:val="left" w:pos="252"/>
              </w:tabs>
              <w:bidi w:val="0"/>
              <w:spacing w:before="0" w:after="0" w:line="240" w:lineRule="auto"/>
              <w:ind w:leftChars="0" w:right="0" w:right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③查人才培养质量评价；</w:t>
            </w:r>
          </w:p>
          <w:p>
            <w:pPr>
              <w:pStyle w:val="19"/>
              <w:keepNext w:val="0"/>
              <w:keepLines w:val="0"/>
              <w:widowControl w:val="0"/>
              <w:numPr>
                <w:ilvl w:val="0"/>
                <w:numId w:val="0"/>
              </w:numPr>
              <w:shd w:val="clear" w:color="auto" w:fill="auto"/>
              <w:tabs>
                <w:tab w:val="left" w:pos="252"/>
              </w:tabs>
              <w:bidi w:val="0"/>
              <w:spacing w:before="0" w:after="0" w:line="240" w:lineRule="auto"/>
              <w:ind w:leftChars="0" w:right="0" w:rightChars="0"/>
              <w:jc w:val="left"/>
              <w:rPr>
                <w:rFonts w:hint="default"/>
                <w:color w:val="auto"/>
                <w:spacing w:val="0"/>
                <w:w w:val="100"/>
                <w:position w:val="0"/>
                <w:sz w:val="22"/>
                <w:szCs w:val="22"/>
                <w:lang w:val="en-US" w:eastAsia="zh-CN"/>
              </w:rPr>
            </w:pPr>
            <w:r>
              <w:rPr>
                <w:rFonts w:hint="eastAsia"/>
                <w:color w:val="auto"/>
                <w:spacing w:val="0"/>
                <w:w w:val="100"/>
                <w:position w:val="0"/>
                <w:sz w:val="22"/>
                <w:szCs w:val="22"/>
                <w:lang w:val="en-US" w:eastAsia="zh-CN"/>
              </w:rPr>
              <w:t>④查专业教学计划修订意见。</w:t>
            </w:r>
          </w:p>
        </w:tc>
      </w:tr>
    </w:tbl>
    <w:p>
      <w:pPr>
        <w:rPr>
          <w:color w:val="auto"/>
        </w:rPr>
        <w:sectPr>
          <w:headerReference r:id="rId17" w:type="default"/>
          <w:footerReference r:id="rId19" w:type="default"/>
          <w:headerReference r:id="rId18" w:type="even"/>
          <w:footerReference r:id="rId20" w:type="even"/>
          <w:footnotePr>
            <w:numFmt w:val="decimal"/>
          </w:footnotePr>
          <w:pgSz w:w="16840" w:h="11900" w:orient="landscape"/>
          <w:pgMar w:top="1341" w:right="1130" w:bottom="1067" w:left="1154" w:header="0" w:footer="3" w:gutter="0"/>
          <w:pgNumType w:fmt="decimal"/>
          <w:cols w:space="720" w:num="1"/>
          <w:rtlGutter w:val="0"/>
          <w:docGrid w:linePitch="360" w:charSpace="0"/>
        </w:sectPr>
      </w:pPr>
    </w:p>
    <w:tbl>
      <w:tblPr>
        <w:tblStyle w:val="5"/>
        <w:tblW w:w="0" w:type="auto"/>
        <w:jc w:val="center"/>
        <w:tblLayout w:type="fixed"/>
        <w:tblCellMar>
          <w:top w:w="0" w:type="dxa"/>
          <w:left w:w="10" w:type="dxa"/>
          <w:bottom w:w="0" w:type="dxa"/>
          <w:right w:w="10" w:type="dxa"/>
        </w:tblCellMar>
      </w:tblPr>
      <w:tblGrid>
        <w:gridCol w:w="696"/>
        <w:gridCol w:w="1392"/>
        <w:gridCol w:w="6120"/>
        <w:gridCol w:w="2520"/>
        <w:gridCol w:w="720"/>
        <w:gridCol w:w="3108"/>
      </w:tblGrid>
      <w:tr>
        <w:tblPrEx>
          <w:tblCellMar>
            <w:top w:w="0" w:type="dxa"/>
            <w:left w:w="10" w:type="dxa"/>
            <w:bottom w:w="0" w:type="dxa"/>
            <w:right w:w="10" w:type="dxa"/>
          </w:tblCellMar>
        </w:tblPrEx>
        <w:trPr>
          <w:trHeight w:val="408" w:hRule="exact"/>
          <w:jc w:val="center"/>
        </w:trPr>
        <w:tc>
          <w:tcPr>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color w:val="auto"/>
              </w:rPr>
            </w:pPr>
            <w:r>
              <w:rPr>
                <w:rFonts w:hint="eastAsia"/>
                <w:color w:val="auto"/>
                <w:lang w:val="en-US" w:eastAsia="zh-CN"/>
              </w:rPr>
              <w:t xml:space="preserve">  </w:t>
            </w:r>
            <w:r>
              <w:rPr>
                <w:color w:val="auto"/>
                <w:spacing w:val="0"/>
                <w:w w:val="100"/>
                <w:position w:val="0"/>
              </w:rPr>
              <w:t>评审指标</w:t>
            </w:r>
          </w:p>
        </w:tc>
        <w:tc>
          <w:tcPr>
            <w:vMerge w:val="restart"/>
            <w:tcBorders>
              <w:top w:val="single" w:color="auto" w:sz="4" w:space="0"/>
              <w:left w:val="single" w:color="auto" w:sz="4" w:space="0"/>
              <w:bottom w:val="nil"/>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rPr>
            </w:pPr>
            <w:r>
              <w:rPr>
                <w:color w:val="auto"/>
                <w:spacing w:val="0"/>
                <w:w w:val="100"/>
                <w:position w:val="0"/>
              </w:rPr>
              <w:t>评分标准要求</w:t>
            </w:r>
          </w:p>
        </w:tc>
        <w:tc>
          <w:tcPr>
            <w:vMerge w:val="restart"/>
            <w:tcBorders>
              <w:top w:val="single" w:color="auto" w:sz="4" w:space="0"/>
              <w:left w:val="single" w:color="auto" w:sz="4" w:space="0"/>
              <w:bottom w:val="nil"/>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rPr>
            </w:pPr>
            <w:r>
              <w:rPr>
                <w:color w:val="auto"/>
                <w:spacing w:val="0"/>
                <w:w w:val="100"/>
                <w:position w:val="0"/>
              </w:rPr>
              <w:t>依据</w:t>
            </w:r>
          </w:p>
        </w:tc>
        <w:tc>
          <w:tcPr>
            <w:vMerge w:val="restart"/>
            <w:tcBorders>
              <w:top w:val="single" w:color="auto" w:sz="4" w:space="0"/>
              <w:left w:val="single" w:color="auto" w:sz="4" w:space="0"/>
              <w:bottom w:val="nil"/>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rPr>
            </w:pPr>
            <w:r>
              <w:rPr>
                <w:color w:val="auto"/>
                <w:spacing w:val="0"/>
                <w:w w:val="100"/>
                <w:position w:val="0"/>
              </w:rPr>
              <w:t>得分</w:t>
            </w:r>
          </w:p>
        </w:tc>
        <w:tc>
          <w:tcPr>
            <w:vMerge w:val="restart"/>
            <w:tcBorders>
              <w:top w:val="single" w:color="auto" w:sz="4" w:space="0"/>
              <w:left w:val="single" w:color="auto" w:sz="4" w:space="0"/>
              <w:bottom w:val="nil"/>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rPr>
            </w:pPr>
            <w:r>
              <w:rPr>
                <w:color w:val="auto"/>
                <w:spacing w:val="0"/>
                <w:w w:val="100"/>
                <w:position w:val="0"/>
              </w:rPr>
              <w:t>考察方式</w:t>
            </w:r>
          </w:p>
        </w:tc>
      </w:tr>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88" w:lineRule="exact"/>
              <w:ind w:left="0" w:right="0" w:firstLine="0"/>
              <w:jc w:val="left"/>
              <w:rPr>
                <w:color w:val="auto"/>
              </w:rPr>
            </w:pPr>
            <w:r>
              <w:rPr>
                <w:color w:val="auto"/>
                <w:spacing w:val="0"/>
                <w:w w:val="100"/>
                <w:position w:val="0"/>
              </w:rPr>
              <w:t>一级 指标</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rPr>
            </w:pPr>
            <w:r>
              <w:rPr>
                <w:color w:val="auto"/>
                <w:spacing w:val="0"/>
                <w:w w:val="100"/>
                <w:position w:val="0"/>
              </w:rPr>
              <w:t>二级指标</w:t>
            </w:r>
          </w:p>
        </w:tc>
        <w:tc>
          <w:tcPr>
            <w:vMerge w:val="continue"/>
            <w:tcBorders>
              <w:top w:val="nil"/>
              <w:left w:val="single" w:color="auto" w:sz="4" w:space="0"/>
            </w:tcBorders>
            <w:shd w:val="clear" w:color="auto" w:fill="FFFFFF"/>
            <w:vAlign w:val="center"/>
          </w:tcPr>
          <w:p>
            <w:pPr>
              <w:rPr>
                <w:color w:val="auto"/>
              </w:rPr>
            </w:pPr>
          </w:p>
        </w:tc>
        <w:tc>
          <w:tcPr>
            <w:vMerge w:val="continue"/>
            <w:tcBorders>
              <w:top w:val="nil"/>
              <w:left w:val="single" w:color="auto" w:sz="4" w:space="0"/>
            </w:tcBorders>
            <w:shd w:val="clear" w:color="auto" w:fill="FFFFFF"/>
            <w:vAlign w:val="center"/>
          </w:tcPr>
          <w:p>
            <w:pPr>
              <w:rPr>
                <w:color w:val="auto"/>
              </w:rPr>
            </w:pPr>
          </w:p>
        </w:tc>
        <w:tc>
          <w:tcPr>
            <w:vMerge w:val="continue"/>
            <w:tcBorders>
              <w:top w:val="nil"/>
              <w:left w:val="single" w:color="auto" w:sz="4" w:space="0"/>
            </w:tcBorders>
            <w:shd w:val="clear" w:color="auto" w:fill="FFFFFF"/>
            <w:vAlign w:val="center"/>
          </w:tcPr>
          <w:p>
            <w:pPr>
              <w:rPr>
                <w:color w:val="auto"/>
              </w:rPr>
            </w:pPr>
          </w:p>
        </w:tc>
        <w:tc>
          <w:tcPr>
            <w:vMerge w:val="continue"/>
            <w:tcBorders>
              <w:top w:val="nil"/>
              <w:left w:val="single" w:color="auto" w:sz="4" w:space="0"/>
              <w:right w:val="single" w:color="auto" w:sz="4" w:space="0"/>
            </w:tcBorders>
            <w:shd w:val="clear" w:color="auto" w:fill="FFFFFF"/>
            <w:vAlign w:val="center"/>
          </w:tcPr>
          <w:p>
            <w:pPr>
              <w:rPr>
                <w:color w:val="auto"/>
              </w:rPr>
            </w:pPr>
          </w:p>
        </w:tc>
      </w:tr>
      <w:tr>
        <w:tblPrEx>
          <w:tblCellMar>
            <w:top w:w="0" w:type="dxa"/>
            <w:left w:w="10" w:type="dxa"/>
            <w:bottom w:w="0" w:type="dxa"/>
            <w:right w:w="10" w:type="dxa"/>
          </w:tblCellMar>
        </w:tblPrEx>
        <w:trPr>
          <w:trHeight w:val="2658" w:hRule="exact"/>
          <w:jc w:val="center"/>
        </w:trPr>
        <w:tc>
          <w:tcPr>
            <w:vMerge w:val="restart"/>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leftChars="0" w:right="0" w:firstLine="0" w:firstLine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八、</w:t>
            </w:r>
          </w:p>
          <w:p>
            <w:pPr>
              <w:pStyle w:val="19"/>
              <w:keepNext w:val="0"/>
              <w:keepLines w:val="0"/>
              <w:widowControl w:val="0"/>
              <w:shd w:val="clear" w:color="auto" w:fill="auto"/>
              <w:bidi w:val="0"/>
              <w:spacing w:before="0" w:after="0" w:line="240" w:lineRule="auto"/>
              <w:ind w:left="0" w:right="0" w:firstLine="0"/>
              <w:jc w:val="left"/>
              <w:rPr>
                <w:color w:val="auto"/>
                <w:spacing w:val="0"/>
                <w:w w:val="100"/>
                <w:position w:val="0"/>
              </w:rPr>
            </w:pPr>
            <w:r>
              <w:rPr>
                <w:rFonts w:hint="eastAsia" w:eastAsia="宋体"/>
                <w:color w:val="auto"/>
                <w:spacing w:val="0"/>
                <w:w w:val="100"/>
                <w:position w:val="0"/>
                <w:sz w:val="22"/>
                <w:szCs w:val="22"/>
                <w:lang w:val="en-US" w:eastAsia="zh-CN"/>
              </w:rPr>
              <w:t>专业教学研究</w:t>
            </w:r>
            <w:r>
              <w:rPr>
                <w:color w:val="auto"/>
                <w:spacing w:val="0"/>
                <w:w w:val="100"/>
                <w:position w:val="0"/>
                <w:sz w:val="22"/>
                <w:szCs w:val="22"/>
              </w:rPr>
              <w:t>（</w:t>
            </w:r>
            <w:r>
              <w:rPr>
                <w:rFonts w:hint="eastAsia" w:eastAsia="宋体"/>
                <w:color w:val="auto"/>
                <w:spacing w:val="0"/>
                <w:w w:val="100"/>
                <w:position w:val="0"/>
                <w:sz w:val="22"/>
                <w:szCs w:val="22"/>
                <w:lang w:val="en-US" w:eastAsia="zh-CN"/>
              </w:rPr>
              <w:t>7</w:t>
            </w:r>
            <w:r>
              <w:rPr>
                <w:color w:val="auto"/>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pacing w:val="0"/>
                <w:w w:val="100"/>
                <w:position w:val="0"/>
              </w:rPr>
            </w:pPr>
            <w:r>
              <w:rPr>
                <w:rFonts w:hint="eastAsia" w:ascii="Times New Roman" w:hAnsi="Times New Roman" w:eastAsia="Times New Roman" w:cs="Times New Roman"/>
                <w:b/>
                <w:bCs/>
                <w:color w:val="auto"/>
                <w:spacing w:val="0"/>
                <w:w w:val="100"/>
                <w:position w:val="0"/>
                <w:sz w:val="22"/>
                <w:szCs w:val="22"/>
                <w:lang w:val="en-US" w:eastAsia="zh-CN" w:bidi="zh-CN"/>
              </w:rPr>
              <w:t>8</w:t>
            </w:r>
            <w:r>
              <w:rPr>
                <w:rFonts w:ascii="Times New Roman" w:hAnsi="Times New Roman" w:eastAsia="Times New Roman" w:cs="Times New Roman"/>
                <w:b/>
                <w:bCs/>
                <w:color w:val="auto"/>
                <w:spacing w:val="0"/>
                <w:w w:val="100"/>
                <w:position w:val="0"/>
                <w:sz w:val="22"/>
                <w:szCs w:val="22"/>
                <w:lang w:val="zh-CN" w:eastAsia="zh-CN" w:bidi="zh-CN"/>
              </w:rPr>
              <w:t>-1</w:t>
            </w:r>
            <w:r>
              <w:rPr>
                <w:rFonts w:hint="eastAsia" w:ascii="Times New Roman" w:hAnsi="Times New Roman" w:eastAsia="Times New Roman" w:cs="Times New Roman"/>
                <w:b w:val="0"/>
                <w:bCs w:val="0"/>
                <w:color w:val="auto"/>
                <w:spacing w:val="0"/>
                <w:w w:val="100"/>
                <w:position w:val="0"/>
                <w:sz w:val="22"/>
                <w:szCs w:val="22"/>
                <w:lang w:val="en-US" w:eastAsia="zh-CN" w:bidi="zh-CN"/>
              </w:rPr>
              <w:t>教育教学研究</w:t>
            </w:r>
            <w:r>
              <w:rPr>
                <w:rFonts w:ascii="Times New Roman" w:hAnsi="Times New Roman" w:eastAsia="Times New Roman" w:cs="Times New Roman"/>
                <w:b/>
                <w:bCs/>
                <w:color w:val="auto"/>
                <w:spacing w:val="0"/>
                <w:w w:val="100"/>
                <w:position w:val="0"/>
                <w:sz w:val="24"/>
                <w:szCs w:val="24"/>
              </w:rPr>
              <w:t>（</w:t>
            </w:r>
            <w:r>
              <w:rPr>
                <w:rFonts w:hint="eastAsia" w:ascii="Times New Roman" w:hAnsi="Times New Roman" w:cs="Times New Roman"/>
                <w:b/>
                <w:bCs/>
                <w:color w:val="auto"/>
                <w:spacing w:val="0"/>
                <w:w w:val="100"/>
                <w:position w:val="0"/>
                <w:sz w:val="24"/>
                <w:szCs w:val="24"/>
                <w:lang w:val="en-US" w:eastAsia="zh-CN"/>
              </w:rPr>
              <w:t>4</w:t>
            </w:r>
            <w:r>
              <w:rPr>
                <w:color w:val="auto"/>
                <w:spacing w:val="0"/>
                <w:w w:val="100"/>
                <w:position w:val="0"/>
                <w:sz w:val="22"/>
                <w:szCs w:val="22"/>
              </w:rPr>
              <w:t>分）</w:t>
            </w:r>
          </w:p>
        </w:tc>
        <w:tc>
          <w:tcPr>
            <w:tcBorders>
              <w:left w:val="single" w:color="auto" w:sz="4" w:space="0"/>
              <w:bottom w:val="single" w:color="auto" w:sz="4" w:space="0"/>
            </w:tcBorders>
            <w:shd w:val="clear" w:color="auto" w:fill="FFFFFF"/>
            <w:vAlign w:val="center"/>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①专业教学研究有总体规划、具体计划和配套措施</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4"/>
                <w:szCs w:val="24"/>
              </w:rPr>
            </w:pPr>
            <w:r>
              <w:rPr>
                <w:rFonts w:hint="eastAsia"/>
                <w:color w:val="auto"/>
                <w:spacing w:val="0"/>
                <w:w w:val="100"/>
                <w:position w:val="0"/>
                <w:sz w:val="22"/>
                <w:szCs w:val="22"/>
                <w:lang w:val="en-US" w:eastAsia="zh-CN"/>
              </w:rPr>
              <w:t>②根据本专业特点和学生实际有针对性的开展了职业教育教学规律、人才培养模式、课程体系、教学内容、教学方法和手段改革的研究</w:t>
            </w:r>
            <w:r>
              <w:rPr>
                <w:rFonts w:ascii="Times New Roman" w:hAnsi="Times New Roman" w:eastAsia="Times New Roman" w:cs="Times New Roman"/>
                <w:b/>
                <w:bCs/>
                <w:color w:val="auto"/>
                <w:spacing w:val="0"/>
                <w:w w:val="100"/>
                <w:position w:val="0"/>
                <w:sz w:val="24"/>
                <w:szCs w:val="24"/>
              </w:rPr>
              <w:t>;</w:t>
            </w: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rFonts w:hint="default"/>
                <w:color w:val="auto"/>
                <w:spacing w:val="0"/>
                <w:w w:val="100"/>
                <w:position w:val="0"/>
                <w:sz w:val="22"/>
                <w:szCs w:val="22"/>
                <w:lang w:val="en-US" w:eastAsia="zh-CN"/>
              </w:rPr>
            </w:pPr>
            <w:r>
              <w:rPr>
                <w:rFonts w:hint="eastAsia"/>
                <w:color w:val="auto"/>
                <w:spacing w:val="0"/>
                <w:w w:val="100"/>
                <w:position w:val="0"/>
                <w:sz w:val="22"/>
                <w:szCs w:val="22"/>
                <w:lang w:val="en-US" w:eastAsia="zh-CN"/>
              </w:rPr>
              <w:t>③有系级教研课题；积极进行专业教学改革，创新人才培养模式；</w:t>
            </w: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rFonts w:hint="eastAsia"/>
                <w:color w:val="auto"/>
                <w:spacing w:val="0"/>
                <w:w w:val="100"/>
                <w:position w:val="0"/>
                <w:sz w:val="22"/>
                <w:szCs w:val="22"/>
                <w:lang w:val="en-US" w:eastAsia="zh-CN"/>
              </w:rPr>
            </w:pPr>
            <w:r>
              <w:rPr>
                <w:rFonts w:hint="eastAsia"/>
                <w:color w:val="auto"/>
                <w:spacing w:val="0"/>
                <w:w w:val="100"/>
                <w:position w:val="0"/>
                <w:sz w:val="22"/>
                <w:szCs w:val="22"/>
                <w:lang w:val="en-US" w:eastAsia="zh-CN"/>
              </w:rPr>
              <w:t>④有教研教改成果在校内推广；</w:t>
            </w:r>
          </w:p>
          <w:p>
            <w:pPr>
              <w:pStyle w:val="19"/>
              <w:keepNext w:val="0"/>
              <w:keepLines w:val="0"/>
              <w:widowControl w:val="0"/>
              <w:numPr>
                <w:ilvl w:val="0"/>
                <w:numId w:val="0"/>
              </w:numPr>
              <w:shd w:val="clear" w:color="auto" w:fill="auto"/>
              <w:tabs>
                <w:tab w:val="left" w:pos="192"/>
              </w:tabs>
              <w:bidi w:val="0"/>
              <w:spacing w:before="0" w:after="0" w:line="288" w:lineRule="exact"/>
              <w:ind w:leftChars="0" w:right="0" w:rightChars="0"/>
              <w:jc w:val="left"/>
              <w:rPr>
                <w:color w:val="auto"/>
              </w:rPr>
            </w:pPr>
            <w:r>
              <w:rPr>
                <w:rFonts w:hint="eastAsia"/>
                <w:color w:val="auto"/>
                <w:spacing w:val="0"/>
                <w:w w:val="100"/>
                <w:position w:val="0"/>
                <w:sz w:val="22"/>
                <w:szCs w:val="22"/>
                <w:lang w:val="en-US" w:eastAsia="zh-CN"/>
              </w:rPr>
              <w:t>⑤教师人均公开发表论文0.5篇以上，其中在有影响期刊发表论文2篇以上</w:t>
            </w:r>
          </w:p>
        </w:tc>
        <w:tc>
          <w:tcPr>
            <w:tcBorders>
              <w:left w:val="single" w:color="auto" w:sz="4" w:space="0"/>
              <w:bottom w:val="single" w:color="auto" w:sz="4" w:space="0"/>
            </w:tcBorders>
            <w:shd w:val="clear" w:color="auto" w:fill="FFFFFF"/>
            <w:vAlign w:val="center"/>
          </w:tcPr>
          <w:p>
            <w:pPr>
              <w:rPr>
                <w:color w:val="auto"/>
              </w:rPr>
            </w:pPr>
          </w:p>
        </w:tc>
        <w:tc>
          <w:tcPr>
            <w:tcBorders>
              <w:left w:val="single" w:color="auto" w:sz="4" w:space="0"/>
              <w:bottom w:val="single" w:color="auto" w:sz="4" w:space="0"/>
            </w:tcBorders>
            <w:shd w:val="clear" w:color="auto" w:fill="FFFFFF"/>
            <w:vAlign w:val="center"/>
          </w:tcPr>
          <w:p>
            <w:pPr>
              <w:rPr>
                <w:color w:val="auto"/>
              </w:rPr>
            </w:pPr>
          </w:p>
        </w:tc>
        <w:tc>
          <w:tcPr>
            <w:tcBorders>
              <w:left w:val="single" w:color="auto" w:sz="4" w:space="0"/>
              <w:bottom w:val="single" w:color="auto" w:sz="4" w:space="0"/>
              <w:right w:val="single" w:color="auto" w:sz="4" w:space="0"/>
            </w:tcBorders>
            <w:shd w:val="clear" w:color="auto" w:fill="FFFFFF"/>
            <w:vAlign w:val="center"/>
          </w:tcPr>
          <w:p>
            <w:pPr>
              <w:pStyle w:val="19"/>
              <w:keepNext w:val="0"/>
              <w:keepLines w:val="0"/>
              <w:widowControl w:val="0"/>
              <w:numPr>
                <w:ilvl w:val="0"/>
                <w:numId w:val="0"/>
              </w:numPr>
              <w:shd w:val="clear" w:color="auto" w:fill="auto"/>
              <w:tabs>
                <w:tab w:val="left" w:pos="252"/>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w:t>
            </w:r>
            <w:r>
              <w:rPr>
                <w:rFonts w:hint="eastAsia"/>
                <w:color w:val="auto"/>
                <w:spacing w:val="0"/>
                <w:w w:val="100"/>
                <w:position w:val="0"/>
                <w:sz w:val="22"/>
                <w:szCs w:val="22"/>
                <w:lang w:val="en-US" w:eastAsia="zh-CN"/>
              </w:rPr>
              <w:t>课题立项、结题、奖励、论文发表情况</w:t>
            </w:r>
            <w:r>
              <w:rPr>
                <w:color w:val="auto"/>
                <w:spacing w:val="0"/>
                <w:w w:val="100"/>
                <w:position w:val="0"/>
                <w:sz w:val="22"/>
                <w:szCs w:val="22"/>
              </w:rPr>
              <w:t>；</w:t>
            </w:r>
          </w:p>
          <w:p>
            <w:pPr>
              <w:rPr>
                <w:color w:val="auto"/>
              </w:rPr>
            </w:pPr>
            <w:r>
              <w:rPr>
                <w:rFonts w:hint="eastAsia"/>
                <w:color w:val="auto"/>
                <w:spacing w:val="0"/>
                <w:w w:val="100"/>
                <w:position w:val="0"/>
                <w:sz w:val="22"/>
                <w:szCs w:val="22"/>
                <w:lang w:val="en-US" w:eastAsia="zh-CN"/>
              </w:rPr>
              <w:t>②</w:t>
            </w:r>
            <w:r>
              <w:rPr>
                <w:color w:val="auto"/>
                <w:spacing w:val="0"/>
                <w:w w:val="100"/>
                <w:position w:val="0"/>
                <w:sz w:val="22"/>
                <w:szCs w:val="22"/>
              </w:rPr>
              <w:t>查</w:t>
            </w:r>
            <w:r>
              <w:rPr>
                <w:rFonts w:hint="eastAsia" w:eastAsia="宋体"/>
                <w:color w:val="auto"/>
                <w:spacing w:val="0"/>
                <w:w w:val="100"/>
                <w:position w:val="0"/>
                <w:sz w:val="22"/>
                <w:szCs w:val="22"/>
                <w:lang w:val="en-US" w:eastAsia="zh-CN"/>
              </w:rPr>
              <w:t>教学研究成果推广情况</w:t>
            </w:r>
            <w:r>
              <w:rPr>
                <w:color w:val="auto"/>
                <w:spacing w:val="0"/>
                <w:w w:val="100"/>
                <w:position w:val="0"/>
                <w:sz w:val="22"/>
                <w:szCs w:val="22"/>
                <w:lang w:val="en-US" w:eastAsia="en-US" w:bidi="en-US"/>
              </w:rPr>
              <w:t>•</w:t>
            </w:r>
          </w:p>
        </w:tc>
      </w:tr>
      <w:tr>
        <w:tblPrEx>
          <w:tblCellMar>
            <w:top w:w="0" w:type="dxa"/>
            <w:left w:w="10" w:type="dxa"/>
            <w:bottom w:w="0" w:type="dxa"/>
            <w:right w:w="10" w:type="dxa"/>
          </w:tblCellMar>
        </w:tblPrEx>
        <w:trPr>
          <w:trHeight w:val="950" w:hRule="exact"/>
          <w:jc w:val="center"/>
        </w:trPr>
        <w:tc>
          <w:tcPr>
            <w:vMerge w:val="continue"/>
            <w:tcBorders>
              <w:left w:val="single" w:color="auto" w:sz="4" w:space="0"/>
            </w:tcBorders>
            <w:shd w:val="clear" w:color="auto" w:fill="FFFFFF"/>
            <w:vAlign w:val="bottom"/>
          </w:tcPr>
          <w:p>
            <w:pPr>
              <w:pStyle w:val="19"/>
              <w:keepNext w:val="0"/>
              <w:keepLines w:val="0"/>
              <w:widowControl w:val="0"/>
              <w:shd w:val="clear" w:color="auto" w:fill="auto"/>
              <w:bidi w:val="0"/>
              <w:spacing w:before="0" w:after="0" w:line="288" w:lineRule="exact"/>
              <w:ind w:left="0" w:right="0" w:firstLine="0"/>
              <w:jc w:val="left"/>
              <w:rPr>
                <w:color w:val="auto"/>
                <w:spacing w:val="0"/>
                <w:w w:val="100"/>
                <w:position w:val="0"/>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color w:val="auto"/>
                <w:spacing w:val="0"/>
                <w:w w:val="100"/>
                <w:position w:val="0"/>
              </w:rPr>
            </w:pPr>
            <w:r>
              <w:rPr>
                <w:rFonts w:hint="eastAsia" w:ascii="Times New Roman" w:hAnsi="Times New Roman" w:eastAsia="Times New Roman" w:cs="Times New Roman"/>
                <w:b/>
                <w:bCs/>
                <w:color w:val="auto"/>
                <w:spacing w:val="0"/>
                <w:w w:val="100"/>
                <w:position w:val="0"/>
                <w:sz w:val="22"/>
                <w:szCs w:val="22"/>
                <w:lang w:val="en-US" w:eastAsia="zh-CN" w:bidi="zh-CN"/>
              </w:rPr>
              <w:t>8</w:t>
            </w:r>
            <w:r>
              <w:rPr>
                <w:rFonts w:ascii="Times New Roman" w:hAnsi="Times New Roman" w:eastAsia="Times New Roman" w:cs="Times New Roman"/>
                <w:b/>
                <w:bCs/>
                <w:color w:val="auto"/>
                <w:spacing w:val="0"/>
                <w:w w:val="100"/>
                <w:position w:val="0"/>
                <w:sz w:val="22"/>
                <w:szCs w:val="22"/>
                <w:lang w:val="zh-CN" w:eastAsia="zh-CN" w:bidi="zh-CN"/>
              </w:rPr>
              <w:t>-</w:t>
            </w:r>
            <w:r>
              <w:rPr>
                <w:rFonts w:hint="eastAsia" w:ascii="Times New Roman" w:hAnsi="Times New Roman" w:eastAsia="Times New Roman" w:cs="Times New Roman"/>
                <w:b/>
                <w:bCs/>
                <w:color w:val="auto"/>
                <w:spacing w:val="0"/>
                <w:w w:val="100"/>
                <w:position w:val="0"/>
                <w:sz w:val="22"/>
                <w:szCs w:val="22"/>
                <w:lang w:val="en-US" w:eastAsia="zh-CN" w:bidi="zh-CN"/>
              </w:rPr>
              <w:t>2</w:t>
            </w:r>
            <w:r>
              <w:rPr>
                <w:rFonts w:hint="eastAsia" w:ascii="Times New Roman" w:hAnsi="Times New Roman" w:eastAsia="Times New Roman" w:cs="Times New Roman"/>
                <w:b w:val="0"/>
                <w:bCs w:val="0"/>
                <w:color w:val="auto"/>
                <w:spacing w:val="0"/>
                <w:w w:val="100"/>
                <w:position w:val="0"/>
                <w:sz w:val="22"/>
                <w:szCs w:val="22"/>
                <w:lang w:val="en-US" w:eastAsia="zh-CN" w:bidi="zh-CN"/>
              </w:rPr>
              <w:t>教育教学改革</w:t>
            </w:r>
            <w:r>
              <w:rPr>
                <w:rFonts w:ascii="Times New Roman" w:hAnsi="Times New Roman" w:eastAsia="Times New Roman" w:cs="Times New Roman"/>
                <w:b/>
                <w:bCs/>
                <w:color w:val="auto"/>
                <w:spacing w:val="0"/>
                <w:w w:val="100"/>
                <w:position w:val="0"/>
                <w:sz w:val="24"/>
                <w:szCs w:val="24"/>
              </w:rPr>
              <w:t>（</w:t>
            </w:r>
            <w:r>
              <w:rPr>
                <w:rFonts w:hint="eastAsia" w:ascii="Times New Roman" w:hAnsi="Times New Roman" w:cs="Times New Roman"/>
                <w:b/>
                <w:bCs/>
                <w:color w:val="auto"/>
                <w:spacing w:val="0"/>
                <w:w w:val="100"/>
                <w:position w:val="0"/>
                <w:sz w:val="24"/>
                <w:szCs w:val="24"/>
                <w:lang w:val="en-US" w:eastAsia="zh-CN"/>
              </w:rPr>
              <w:t>3</w:t>
            </w:r>
            <w:r>
              <w:rPr>
                <w:color w:val="auto"/>
                <w:spacing w:val="0"/>
                <w:w w:val="100"/>
                <w:position w:val="0"/>
                <w:sz w:val="22"/>
                <w:szCs w:val="22"/>
              </w:rPr>
              <w:t>分）</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①有明确的教学改革试点课程</w:t>
            </w:r>
            <w:r>
              <w:rPr>
                <w:color w:val="auto"/>
                <w:spacing w:val="0"/>
                <w:w w:val="100"/>
                <w:position w:val="0"/>
                <w:sz w:val="22"/>
                <w:szCs w:val="22"/>
              </w:rPr>
              <w:t>；</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rPr>
            </w:pPr>
            <w:r>
              <w:rPr>
                <w:rFonts w:hint="eastAsia"/>
                <w:color w:val="auto"/>
                <w:spacing w:val="0"/>
                <w:w w:val="100"/>
                <w:position w:val="0"/>
                <w:sz w:val="22"/>
                <w:szCs w:val="22"/>
                <w:lang w:val="en-US" w:eastAsia="zh-CN"/>
              </w:rPr>
              <w:t>②教学改革试点课程有计划、有目标、有总结。</w:t>
            </w:r>
          </w:p>
        </w:tc>
        <w:tc>
          <w:tcPr>
            <w:tcBorders>
              <w:top w:val="single" w:color="auto" w:sz="4" w:space="0"/>
              <w:left w:val="single" w:color="auto" w:sz="4" w:space="0"/>
              <w:bottom w:val="single" w:color="auto" w:sz="4" w:space="0"/>
            </w:tcBorders>
            <w:shd w:val="clear" w:color="auto" w:fill="FFFFFF"/>
            <w:vAlign w:val="center"/>
          </w:tcPr>
          <w:p>
            <w:pPr>
              <w:rPr>
                <w:color w:val="auto"/>
              </w:rPr>
            </w:pPr>
          </w:p>
        </w:tc>
        <w:tc>
          <w:tcPr>
            <w:tcBorders>
              <w:top w:val="single" w:color="auto" w:sz="4" w:space="0"/>
              <w:left w:val="single" w:color="auto" w:sz="4" w:space="0"/>
              <w:bottom w:val="single" w:color="auto" w:sz="4" w:space="0"/>
            </w:tcBorders>
            <w:shd w:val="clear" w:color="auto" w:fill="FFFFFF"/>
            <w:vAlign w:val="center"/>
          </w:tcPr>
          <w:p>
            <w:pPr>
              <w:rPr>
                <w:color w:val="auto"/>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eastAsia="宋体"/>
                <w:color w:val="auto"/>
                <w:lang w:val="en-US" w:eastAsia="zh-CN"/>
              </w:rPr>
            </w:pPr>
            <w:r>
              <w:rPr>
                <w:rFonts w:hint="eastAsia" w:eastAsia="宋体"/>
                <w:color w:val="auto"/>
                <w:lang w:val="en-US" w:eastAsia="zh-CN"/>
              </w:rPr>
              <w:t>试点课程相关资料</w:t>
            </w:r>
          </w:p>
        </w:tc>
      </w:tr>
      <w:tr>
        <w:tblPrEx>
          <w:tblCellMar>
            <w:top w:w="0" w:type="dxa"/>
            <w:left w:w="10" w:type="dxa"/>
            <w:bottom w:w="0" w:type="dxa"/>
            <w:right w:w="10" w:type="dxa"/>
          </w:tblCellMar>
        </w:tblPrEx>
        <w:trPr>
          <w:trHeight w:val="2229" w:hRule="exact"/>
          <w:jc w:val="center"/>
        </w:trPr>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6" w:lineRule="exact"/>
              <w:ind w:left="0" w:right="0" w:firstLine="0"/>
              <w:jc w:val="left"/>
              <w:rPr>
                <w:color w:val="auto"/>
                <w:sz w:val="22"/>
                <w:szCs w:val="22"/>
              </w:rPr>
            </w:pPr>
            <w:r>
              <w:rPr>
                <w:rFonts w:hint="eastAsia"/>
                <w:color w:val="auto"/>
                <w:spacing w:val="0"/>
                <w:w w:val="100"/>
                <w:position w:val="0"/>
                <w:sz w:val="22"/>
                <w:szCs w:val="22"/>
                <w:lang w:val="en-US" w:eastAsia="zh-CN"/>
              </w:rPr>
              <w:t>九、</w:t>
            </w:r>
            <w:r>
              <w:rPr>
                <w:color w:val="auto"/>
                <w:spacing w:val="0"/>
                <w:w w:val="100"/>
                <w:position w:val="0"/>
                <w:sz w:val="22"/>
                <w:szCs w:val="22"/>
              </w:rPr>
              <w:t>特色 与示 范</w:t>
            </w:r>
          </w:p>
          <w:p>
            <w:pPr>
              <w:pStyle w:val="19"/>
              <w:keepNext w:val="0"/>
              <w:keepLines w:val="0"/>
              <w:widowControl w:val="0"/>
              <w:shd w:val="clear" w:color="auto" w:fill="auto"/>
              <w:bidi w:val="0"/>
              <w:spacing w:before="0" w:after="0" w:line="192" w:lineRule="auto"/>
              <w:ind w:left="0" w:right="0" w:firstLine="180"/>
              <w:jc w:val="left"/>
              <w:rPr>
                <w:color w:val="auto"/>
                <w:sz w:val="22"/>
                <w:szCs w:val="22"/>
              </w:rPr>
            </w:pPr>
            <w:r>
              <w:rPr>
                <w:rFonts w:ascii="Times New Roman" w:hAnsi="Times New Roman" w:eastAsia="Times New Roman" w:cs="Times New Roman"/>
                <w:b/>
                <w:bCs/>
                <w:color w:val="auto"/>
                <w:spacing w:val="0"/>
                <w:w w:val="100"/>
                <w:position w:val="0"/>
                <w:sz w:val="22"/>
                <w:szCs w:val="22"/>
              </w:rPr>
              <w:t>（10</w:t>
            </w:r>
          </w:p>
          <w:p>
            <w:pPr>
              <w:pStyle w:val="19"/>
              <w:keepNext w:val="0"/>
              <w:keepLines w:val="0"/>
              <w:widowControl w:val="0"/>
              <w:shd w:val="clear" w:color="auto" w:fill="auto"/>
              <w:bidi w:val="0"/>
              <w:spacing w:before="0" w:after="0" w:line="276" w:lineRule="exact"/>
              <w:ind w:left="0" w:right="0" w:firstLine="0"/>
              <w:jc w:val="left"/>
              <w:rPr>
                <w:color w:val="auto"/>
                <w:sz w:val="22"/>
                <w:szCs w:val="22"/>
              </w:rPr>
            </w:pPr>
            <w:r>
              <w:rPr>
                <w:color w:val="auto"/>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300" w:lineRule="exact"/>
              <w:ind w:left="0" w:right="0" w:firstLine="0"/>
              <w:jc w:val="left"/>
              <w:rPr>
                <w:color w:val="auto"/>
                <w:sz w:val="22"/>
                <w:szCs w:val="22"/>
              </w:rPr>
            </w:pPr>
            <w:r>
              <w:rPr>
                <w:color w:val="auto"/>
                <w:spacing w:val="0"/>
                <w:w w:val="100"/>
                <w:position w:val="0"/>
                <w:sz w:val="22"/>
                <w:szCs w:val="22"/>
              </w:rPr>
              <w:t>专业特色</w:t>
            </w:r>
            <w:r>
              <w:rPr>
                <w:b/>
                <w:bCs/>
                <w:color w:val="auto"/>
                <w:spacing w:val="0"/>
                <w:w w:val="100"/>
                <w:position w:val="0"/>
                <w:sz w:val="22"/>
                <w:szCs w:val="22"/>
              </w:rPr>
              <w:t>（</w:t>
            </w:r>
            <w:r>
              <w:rPr>
                <w:rFonts w:ascii="Times New Roman" w:hAnsi="Times New Roman" w:eastAsia="Times New Roman" w:cs="Times New Roman"/>
                <w:b/>
                <w:bCs/>
                <w:color w:val="auto"/>
                <w:spacing w:val="0"/>
                <w:w w:val="100"/>
                <w:position w:val="0"/>
                <w:sz w:val="22"/>
                <w:szCs w:val="22"/>
              </w:rPr>
              <w:t xml:space="preserve">5 </w:t>
            </w:r>
            <w:r>
              <w:rPr>
                <w:color w:val="auto"/>
                <w:spacing w:val="0"/>
                <w:w w:val="100"/>
                <w:position w:val="0"/>
                <w:sz w:val="22"/>
                <w:szCs w:val="22"/>
              </w:rPr>
              <w:t>分）</w:t>
            </w:r>
          </w:p>
        </w:tc>
        <w:tc>
          <w:tcPr>
            <w:tcBorders>
              <w:top w:val="single" w:color="auto" w:sz="4" w:space="0"/>
              <w:left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204"/>
              </w:tabs>
              <w:bidi w:val="0"/>
              <w:spacing w:before="0" w:after="0" w:line="284" w:lineRule="exact"/>
              <w:ind w:leftChars="0" w:right="0" w:rightChars="0"/>
              <w:jc w:val="both"/>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在人才培养途径、手段和方式上有新颖性和独到之处；</w:t>
            </w:r>
          </w:p>
          <w:p>
            <w:pPr>
              <w:pStyle w:val="19"/>
              <w:keepNext w:val="0"/>
              <w:keepLines w:val="0"/>
              <w:widowControl w:val="0"/>
              <w:numPr>
                <w:ilvl w:val="0"/>
                <w:numId w:val="0"/>
              </w:numPr>
              <w:shd w:val="clear" w:color="auto" w:fill="auto"/>
              <w:tabs>
                <w:tab w:val="left" w:pos="204"/>
              </w:tabs>
              <w:bidi w:val="0"/>
              <w:spacing w:before="0" w:after="0" w:line="284" w:lineRule="exact"/>
              <w:ind w:leftChars="0" w:right="0" w:rightChars="0"/>
              <w:jc w:val="both"/>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在教学设计、课程体系、知识和技能的结构设计上有独到之处；</w:t>
            </w:r>
          </w:p>
          <w:p>
            <w:pPr>
              <w:pStyle w:val="19"/>
              <w:keepNext w:val="0"/>
              <w:keepLines w:val="0"/>
              <w:widowControl w:val="0"/>
              <w:numPr>
                <w:ilvl w:val="0"/>
                <w:numId w:val="0"/>
              </w:numPr>
              <w:shd w:val="clear" w:color="auto" w:fill="auto"/>
              <w:tabs>
                <w:tab w:val="left" w:pos="216"/>
              </w:tabs>
              <w:bidi w:val="0"/>
              <w:spacing w:before="0" w:after="0" w:line="284" w:lineRule="exact"/>
              <w:ind w:leftChars="0" w:right="0" w:rightChars="0"/>
              <w:jc w:val="both"/>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专业带头人及教学团队具有打造本专业教学和质量特色的强烈 意识和创新精神，制定并实施了操作性较强的实施方案；</w:t>
            </w:r>
          </w:p>
          <w:p>
            <w:pPr>
              <w:pStyle w:val="19"/>
              <w:keepNext w:val="0"/>
              <w:keepLines w:val="0"/>
              <w:widowControl w:val="0"/>
              <w:numPr>
                <w:ilvl w:val="0"/>
                <w:numId w:val="0"/>
              </w:numPr>
              <w:shd w:val="clear" w:color="auto" w:fill="auto"/>
              <w:tabs>
                <w:tab w:val="left" w:pos="204"/>
              </w:tabs>
              <w:bidi w:val="0"/>
              <w:spacing w:before="0" w:after="0" w:line="284" w:lineRule="exact"/>
              <w:ind w:leftChars="0" w:right="0" w:rightChars="0"/>
              <w:jc w:val="both"/>
              <w:rPr>
                <w:color w:val="auto"/>
                <w:sz w:val="22"/>
                <w:szCs w:val="22"/>
              </w:rPr>
            </w:pPr>
            <w:r>
              <w:rPr>
                <w:rFonts w:hint="eastAsia"/>
                <w:color w:val="auto"/>
                <w:spacing w:val="0"/>
                <w:w w:val="100"/>
                <w:position w:val="0"/>
                <w:sz w:val="22"/>
                <w:szCs w:val="22"/>
                <w:lang w:val="en-US" w:eastAsia="zh-CN"/>
              </w:rPr>
              <w:t>④</w:t>
            </w:r>
            <w:r>
              <w:rPr>
                <w:color w:val="auto"/>
                <w:spacing w:val="0"/>
                <w:w w:val="100"/>
                <w:position w:val="0"/>
                <w:sz w:val="22"/>
                <w:szCs w:val="22"/>
              </w:rPr>
              <w:t>在工学结合上，有独创性，尤其重视学生参加生产、服务、管 理及参与技术开发与创新等，从而获得职业经验与专业技术应用 能力。</w:t>
            </w:r>
          </w:p>
        </w:tc>
        <w:tc>
          <w:tcPr>
            <w:tcBorders>
              <w:top w:val="single" w:color="auto" w:sz="4" w:space="0"/>
              <w:left w:val="single" w:color="auto" w:sz="4" w:space="0"/>
            </w:tcBorders>
            <w:shd w:val="clear" w:color="auto" w:fill="FFFFFF"/>
            <w:vAlign w:val="top"/>
          </w:tcPr>
          <w:p>
            <w:pPr>
              <w:widowControl w:val="0"/>
              <w:rPr>
                <w:color w:val="auto"/>
                <w:sz w:val="22"/>
                <w:szCs w:val="22"/>
              </w:rPr>
            </w:pPr>
          </w:p>
        </w:tc>
        <w:tc>
          <w:tcPr>
            <w:tcBorders>
              <w:top w:val="single" w:color="auto" w:sz="4" w:space="0"/>
              <w:left w:val="single" w:color="auto" w:sz="4" w:space="0"/>
            </w:tcBorders>
            <w:shd w:val="clear" w:color="auto" w:fill="FFFFFF"/>
            <w:vAlign w:val="top"/>
          </w:tcPr>
          <w:p>
            <w:pPr>
              <w:widowControl w:val="0"/>
              <w:rPr>
                <w:color w:val="auto"/>
                <w:sz w:val="22"/>
                <w:szCs w:val="22"/>
              </w:rPr>
            </w:pPr>
          </w:p>
        </w:tc>
        <w:tc>
          <w:tcPr>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numPr>
                <w:ilvl w:val="0"/>
                <w:numId w:val="0"/>
              </w:numPr>
              <w:shd w:val="clear" w:color="auto" w:fill="auto"/>
              <w:tabs>
                <w:tab w:val="left" w:pos="216"/>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专业带头人访谈；</w:t>
            </w:r>
          </w:p>
          <w:p>
            <w:pPr>
              <w:pStyle w:val="19"/>
              <w:keepNext w:val="0"/>
              <w:keepLines w:val="0"/>
              <w:widowControl w:val="0"/>
              <w:numPr>
                <w:ilvl w:val="0"/>
                <w:numId w:val="0"/>
              </w:numPr>
              <w:shd w:val="clear" w:color="auto" w:fill="auto"/>
              <w:tabs>
                <w:tab w:val="left" w:pos="204"/>
              </w:tabs>
              <w:bidi w:val="0"/>
              <w:spacing w:before="0" w:after="0" w:line="240" w:lineRule="auto"/>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查专业特色建设的相关材料。</w:t>
            </w:r>
          </w:p>
        </w:tc>
      </w:tr>
      <w:tr>
        <w:tblPrEx>
          <w:tblCellMar>
            <w:top w:w="0" w:type="dxa"/>
            <w:left w:w="10" w:type="dxa"/>
            <w:bottom w:w="0" w:type="dxa"/>
            <w:right w:w="10" w:type="dxa"/>
          </w:tblCellMar>
        </w:tblPrEx>
        <w:trPr>
          <w:trHeight w:val="1297" w:hRule="exact"/>
          <w:jc w:val="center"/>
        </w:trPr>
        <w:tc>
          <w:tcPr>
            <w:vMerge w:val="continue"/>
            <w:tcBorders>
              <w:left w:val="single" w:color="auto" w:sz="4" w:space="0"/>
            </w:tcBorders>
            <w:shd w:val="clear" w:color="auto" w:fill="FFFFFF"/>
            <w:vAlign w:val="center"/>
          </w:tcPr>
          <w:p>
            <w:pPr>
              <w:rPr>
                <w:color w:val="auto"/>
                <w:sz w:val="22"/>
                <w:szCs w:val="22"/>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color w:val="auto"/>
                <w:sz w:val="22"/>
                <w:szCs w:val="22"/>
              </w:rPr>
            </w:pPr>
            <w:r>
              <w:rPr>
                <w:color w:val="auto"/>
                <w:spacing w:val="0"/>
                <w:w w:val="100"/>
                <w:position w:val="0"/>
                <w:sz w:val="22"/>
                <w:szCs w:val="22"/>
              </w:rPr>
              <w:t>专业示范</w:t>
            </w:r>
          </w:p>
          <w:p>
            <w:pPr>
              <w:pStyle w:val="19"/>
              <w:keepNext w:val="0"/>
              <w:keepLines w:val="0"/>
              <w:widowControl w:val="0"/>
              <w:shd w:val="clear" w:color="auto" w:fill="auto"/>
              <w:bidi w:val="0"/>
              <w:spacing w:before="0" w:after="0" w:line="182" w:lineRule="auto"/>
              <w:ind w:left="0" w:right="0" w:firstLine="160"/>
              <w:jc w:val="left"/>
              <w:rPr>
                <w:color w:val="auto"/>
                <w:sz w:val="22"/>
                <w:szCs w:val="22"/>
              </w:rPr>
            </w:pPr>
            <w:r>
              <w:rPr>
                <w:rFonts w:ascii="Times New Roman" w:hAnsi="Times New Roman" w:eastAsia="Times New Roman" w:cs="Times New Roman"/>
                <w:b/>
                <w:bCs/>
                <w:color w:val="auto"/>
                <w:spacing w:val="0"/>
                <w:w w:val="100"/>
                <w:position w:val="0"/>
                <w:sz w:val="22"/>
                <w:szCs w:val="22"/>
              </w:rPr>
              <w:t>（5</w:t>
            </w:r>
            <w:r>
              <w:rPr>
                <w:color w:val="auto"/>
                <w:spacing w:val="0"/>
                <w:w w:val="100"/>
                <w:position w:val="0"/>
                <w:sz w:val="22"/>
                <w:szCs w:val="22"/>
              </w:rPr>
              <w:t>分）</w:t>
            </w:r>
          </w:p>
        </w:tc>
        <w:tc>
          <w:tcPr>
            <w:tcBorders>
              <w:top w:val="single" w:color="auto" w:sz="4" w:space="0"/>
              <w:left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216"/>
              </w:tabs>
              <w:bidi w:val="0"/>
              <w:spacing w:before="0" w:after="0" w:line="282" w:lineRule="exact"/>
              <w:ind w:leftChars="0" w:right="0" w:rightChars="0"/>
              <w:jc w:val="both"/>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专业在人才培养模式、专业建设、课程建设、实践条件建设、 就业指导方面发挥带头和示范作用；</w:t>
            </w:r>
          </w:p>
          <w:p>
            <w:pPr>
              <w:pStyle w:val="19"/>
              <w:keepNext w:val="0"/>
              <w:keepLines w:val="0"/>
              <w:widowControl w:val="0"/>
              <w:numPr>
                <w:ilvl w:val="0"/>
                <w:numId w:val="0"/>
              </w:numPr>
              <w:shd w:val="clear" w:color="auto" w:fill="auto"/>
              <w:tabs>
                <w:tab w:val="left" w:pos="216"/>
              </w:tabs>
              <w:bidi w:val="0"/>
              <w:spacing w:before="0" w:after="0" w:line="282" w:lineRule="exact"/>
              <w:ind w:leftChars="0" w:right="0" w:rightChars="0"/>
              <w:jc w:val="both"/>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专业教学团队在教学、培训、教科研等方面发挥带头和示范作 用。</w:t>
            </w:r>
          </w:p>
        </w:tc>
        <w:tc>
          <w:tcPr>
            <w:tcBorders>
              <w:top w:val="single" w:color="auto" w:sz="4" w:space="0"/>
              <w:left w:val="single" w:color="auto" w:sz="4" w:space="0"/>
            </w:tcBorders>
            <w:shd w:val="clear" w:color="auto" w:fill="FFFFFF"/>
            <w:vAlign w:val="top"/>
          </w:tcPr>
          <w:p>
            <w:pPr>
              <w:widowControl w:val="0"/>
              <w:rPr>
                <w:color w:val="auto"/>
                <w:sz w:val="22"/>
                <w:szCs w:val="22"/>
              </w:rPr>
            </w:pPr>
          </w:p>
        </w:tc>
        <w:tc>
          <w:tcPr>
            <w:tcBorders>
              <w:top w:val="single" w:color="auto" w:sz="4" w:space="0"/>
              <w:left w:val="single" w:color="auto" w:sz="4" w:space="0"/>
            </w:tcBorders>
            <w:shd w:val="clear" w:color="auto" w:fill="FFFFFF"/>
            <w:vAlign w:val="top"/>
          </w:tcPr>
          <w:p>
            <w:pPr>
              <w:widowControl w:val="0"/>
              <w:rPr>
                <w:color w:val="auto"/>
                <w:sz w:val="22"/>
                <w:szCs w:val="22"/>
              </w:rPr>
            </w:pP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numPr>
                <w:ilvl w:val="0"/>
                <w:numId w:val="0"/>
              </w:numPr>
              <w:shd w:val="clear" w:color="auto" w:fill="auto"/>
              <w:tabs>
                <w:tab w:val="left" w:pos="216"/>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①</w:t>
            </w:r>
            <w:r>
              <w:rPr>
                <w:color w:val="auto"/>
                <w:spacing w:val="0"/>
                <w:w w:val="100"/>
                <w:position w:val="0"/>
                <w:sz w:val="22"/>
                <w:szCs w:val="22"/>
              </w:rPr>
              <w:t>查人才培养计划和专业建设 总结；</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②</w:t>
            </w:r>
            <w:r>
              <w:rPr>
                <w:color w:val="auto"/>
                <w:spacing w:val="0"/>
                <w:w w:val="100"/>
                <w:position w:val="0"/>
                <w:sz w:val="22"/>
                <w:szCs w:val="22"/>
              </w:rPr>
              <w:t>相关文件及工作记录；</w:t>
            </w:r>
          </w:p>
          <w:p>
            <w:pPr>
              <w:pStyle w:val="19"/>
              <w:keepNext w:val="0"/>
              <w:keepLines w:val="0"/>
              <w:widowControl w:val="0"/>
              <w:numPr>
                <w:ilvl w:val="0"/>
                <w:numId w:val="0"/>
              </w:numPr>
              <w:shd w:val="clear" w:color="auto" w:fill="auto"/>
              <w:tabs>
                <w:tab w:val="left" w:pos="204"/>
              </w:tabs>
              <w:bidi w:val="0"/>
              <w:spacing w:before="0" w:after="0" w:line="288" w:lineRule="exact"/>
              <w:ind w:leftChars="0" w:right="0" w:rightChars="0"/>
              <w:jc w:val="left"/>
              <w:rPr>
                <w:color w:val="auto"/>
                <w:sz w:val="22"/>
                <w:szCs w:val="22"/>
              </w:rPr>
            </w:pPr>
            <w:r>
              <w:rPr>
                <w:rFonts w:hint="eastAsia"/>
                <w:color w:val="auto"/>
                <w:spacing w:val="0"/>
                <w:w w:val="100"/>
                <w:position w:val="0"/>
                <w:sz w:val="22"/>
                <w:szCs w:val="22"/>
                <w:lang w:val="en-US" w:eastAsia="zh-CN"/>
              </w:rPr>
              <w:t>③</w:t>
            </w:r>
            <w:r>
              <w:rPr>
                <w:color w:val="auto"/>
                <w:spacing w:val="0"/>
                <w:w w:val="100"/>
                <w:position w:val="0"/>
                <w:sz w:val="22"/>
                <w:szCs w:val="22"/>
              </w:rPr>
              <w:t>反映经验推广的相关资料。</w:t>
            </w:r>
          </w:p>
        </w:tc>
      </w:tr>
      <w:tr>
        <w:tblPrEx>
          <w:tblCellMar>
            <w:top w:w="0" w:type="dxa"/>
            <w:left w:w="10" w:type="dxa"/>
            <w:bottom w:w="0" w:type="dxa"/>
            <w:right w:w="10" w:type="dxa"/>
          </w:tblCellMar>
        </w:tblPrEx>
        <w:trPr>
          <w:trHeight w:val="509" w:hRule="exact"/>
          <w:jc w:val="center"/>
        </w:trPr>
        <w:tc>
          <w:tcPr>
            <w:gridSpan w:val="3"/>
            <w:tcBorders>
              <w:top w:val="single" w:color="auto" w:sz="4" w:space="0"/>
              <w:left w:val="single" w:color="auto" w:sz="4" w:space="0"/>
              <w:bottom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rPr>
                <w:color w:val="auto"/>
              </w:rPr>
            </w:pPr>
            <w:r>
              <w:rPr>
                <w:color w:val="auto"/>
                <w:spacing w:val="0"/>
                <w:w w:val="100"/>
                <w:position w:val="0"/>
                <w:sz w:val="22"/>
                <w:szCs w:val="22"/>
              </w:rPr>
              <w:t>总计</w:t>
            </w:r>
          </w:p>
        </w:tc>
        <w:tc>
          <w:tcPr>
            <w:tcBorders>
              <w:top w:val="single" w:color="auto" w:sz="4" w:space="0"/>
              <w:left w:val="single" w:color="auto" w:sz="4" w:space="0"/>
              <w:bottom w:val="single" w:color="auto" w:sz="4" w:space="0"/>
            </w:tcBorders>
            <w:shd w:val="clear" w:color="auto" w:fill="FFFFFF"/>
            <w:vAlign w:val="top"/>
          </w:tcPr>
          <w:p>
            <w:pPr>
              <w:widowControl w:val="0"/>
              <w:rPr>
                <w:color w:val="auto"/>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color w:val="auto"/>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color w:val="auto"/>
                <w:sz w:val="10"/>
                <w:szCs w:val="10"/>
              </w:rPr>
            </w:pPr>
          </w:p>
        </w:tc>
      </w:tr>
    </w:tbl>
    <w:p>
      <w:pPr>
        <w:rPr>
          <w:color w:val="auto"/>
        </w:rPr>
      </w:pPr>
    </w:p>
    <w:p>
      <w:pPr>
        <w:rPr>
          <w:color w:val="auto"/>
        </w:rPr>
      </w:pPr>
    </w:p>
    <w:p>
      <w:pPr>
        <w:rPr>
          <w:rFonts w:hint="eastAsia" w:eastAsia="宋体"/>
          <w:sz w:val="28"/>
          <w:szCs w:val="28"/>
          <w:lang w:eastAsia="zh-CN"/>
        </w:rPr>
      </w:pPr>
      <w:r>
        <w:rPr>
          <w:rFonts w:hint="eastAsia" w:eastAsia="宋体"/>
          <w:sz w:val="28"/>
          <w:szCs w:val="28"/>
          <w:lang w:val="en-US" w:eastAsia="zh-CN"/>
        </w:rPr>
        <w:t>注：1.《标准》</w:t>
      </w:r>
      <w:r>
        <w:rPr>
          <w:sz w:val="28"/>
          <w:szCs w:val="28"/>
        </w:rPr>
        <w:t>为二级指标结构，采用直接得分法。一级指标共8个，二级指标30个。</w:t>
      </w:r>
      <w:r>
        <w:rPr>
          <w:rFonts w:hint="eastAsia" w:eastAsia="宋体"/>
          <w:sz w:val="28"/>
          <w:szCs w:val="28"/>
          <w:lang w:val="en-US" w:eastAsia="zh-CN"/>
        </w:rPr>
        <w:t>总分</w:t>
      </w:r>
      <w:r>
        <w:rPr>
          <w:sz w:val="28"/>
          <w:szCs w:val="28"/>
        </w:rPr>
        <w:t>按100分计算，</w:t>
      </w:r>
      <w:r>
        <w:rPr>
          <w:rFonts w:hint="eastAsia" w:eastAsia="宋体"/>
          <w:sz w:val="28"/>
          <w:szCs w:val="28"/>
          <w:lang w:val="en-US" w:eastAsia="zh-CN"/>
        </w:rPr>
        <w:t>以定性和定量相结合评议，</w:t>
      </w:r>
      <w:r>
        <w:rPr>
          <w:sz w:val="28"/>
          <w:szCs w:val="28"/>
        </w:rPr>
        <w:t xml:space="preserve"> 以分值大小体现权重</w:t>
      </w:r>
      <w:r>
        <w:rPr>
          <w:rFonts w:hint="eastAsia" w:eastAsia="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sz w:val="28"/>
          <w:szCs w:val="28"/>
        </w:rPr>
      </w:pPr>
      <w:r>
        <w:rPr>
          <w:rFonts w:hint="eastAsia"/>
          <w:sz w:val="28"/>
          <w:szCs w:val="28"/>
          <w:lang w:val="en-US" w:eastAsia="zh-CN"/>
        </w:rPr>
        <w:t>2.</w:t>
      </w:r>
      <w:r>
        <w:rPr>
          <w:sz w:val="28"/>
          <w:szCs w:val="28"/>
          <w:lang w:val="zh-CN" w:eastAsia="zh-CN"/>
        </w:rPr>
        <w:t>各专</w:t>
      </w:r>
      <w:r>
        <w:rPr>
          <w:sz w:val="28"/>
          <w:szCs w:val="28"/>
        </w:rPr>
        <w:t>业根据标准进行总结自评，提交自评意见</w:t>
      </w:r>
      <w:bookmarkStart w:id="74" w:name="bookmark80"/>
      <w:bookmarkEnd w:id="74"/>
      <w:r>
        <w:rPr>
          <w:rFonts w:hint="eastAsia" w:eastAsia="宋体"/>
          <w:sz w:val="28"/>
          <w:szCs w:val="28"/>
          <w:lang w:eastAsia="zh-CN"/>
        </w:rPr>
        <w:t>，</w:t>
      </w:r>
      <w:r>
        <w:rPr>
          <w:sz w:val="28"/>
          <w:szCs w:val="28"/>
        </w:rPr>
        <w:t>系部根据标准进行检查，提交检查意见</w:t>
      </w:r>
      <w:r>
        <w:rPr>
          <w:rFonts w:hint="eastAsia" w:eastAsia="宋体"/>
          <w:sz w:val="28"/>
          <w:szCs w:val="28"/>
          <w:lang w:eastAsia="zh-CN"/>
        </w:rPr>
        <w:t>，</w:t>
      </w:r>
      <w:r>
        <w:rPr>
          <w:sz w:val="28"/>
          <w:szCs w:val="28"/>
        </w:rPr>
        <w:t>教学管理工作部组织有关专家按标准验收评审</w:t>
      </w:r>
      <w:r>
        <w:rPr>
          <w:rFonts w:hint="eastAsia" w:eastAsia="宋体"/>
          <w:sz w:val="28"/>
          <w:szCs w:val="28"/>
          <w:lang w:eastAsia="zh-CN"/>
        </w:rPr>
        <w:t>，</w:t>
      </w:r>
      <w:r>
        <w:rPr>
          <w:sz w:val="28"/>
          <w:szCs w:val="28"/>
        </w:rPr>
        <w:t>评审结果在全校通报。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eastAsia="宋体"/>
          <w:sz w:val="28"/>
          <w:szCs w:val="28"/>
          <w:lang w:eastAsia="zh-CN"/>
        </w:rPr>
        <w:sectPr>
          <w:headerReference r:id="rId21" w:type="default"/>
          <w:footerReference r:id="rId23" w:type="default"/>
          <w:headerReference r:id="rId22" w:type="even"/>
          <w:footerReference r:id="rId24" w:type="even"/>
          <w:footnotePr>
            <w:numFmt w:val="decimal"/>
          </w:footnotePr>
          <w:pgSz w:w="16840" w:h="11900" w:orient="landscape"/>
          <w:pgMar w:top="1438" w:right="1130" w:bottom="1438" w:left="1154" w:header="0" w:footer="3" w:gutter="0"/>
          <w:pgNumType w:fmt="decimal"/>
          <w:cols w:space="720" w:num="1"/>
          <w:rtlGutter w:val="0"/>
          <w:docGrid w:linePitch="360" w:charSpace="0"/>
        </w:sectPr>
      </w:pPr>
      <w:r>
        <w:rPr>
          <w:rFonts w:hint="eastAsia"/>
          <w:sz w:val="28"/>
          <w:szCs w:val="28"/>
          <w:lang w:val="en-US" w:eastAsia="zh-CN"/>
        </w:rPr>
        <w:t>3. 总分110分，</w:t>
      </w:r>
      <w:r>
        <w:rPr>
          <w:sz w:val="28"/>
          <w:szCs w:val="28"/>
        </w:rPr>
        <w:t>90分及以上为优秀，</w:t>
      </w:r>
      <w:r>
        <w:rPr>
          <w:sz w:val="28"/>
          <w:szCs w:val="28"/>
          <w:lang w:val="en-US" w:eastAsia="en-US"/>
        </w:rPr>
        <w:t>80-89</w:t>
      </w:r>
      <w:r>
        <w:rPr>
          <w:sz w:val="28"/>
          <w:szCs w:val="28"/>
        </w:rPr>
        <w:t>分为良好，</w:t>
      </w:r>
      <w:r>
        <w:rPr>
          <w:sz w:val="28"/>
          <w:szCs w:val="28"/>
          <w:lang w:val="en-US" w:eastAsia="en-US"/>
        </w:rPr>
        <w:t>70-79</w:t>
      </w:r>
      <w:r>
        <w:rPr>
          <w:sz w:val="28"/>
          <w:szCs w:val="28"/>
        </w:rPr>
        <w:t>分为合格，70分以下为警示</w:t>
      </w:r>
      <w:bookmarkStart w:id="75" w:name="_GoBack"/>
      <w:bookmarkEnd w:id="75"/>
    </w:p>
    <w:bookmarkEnd w:id="71"/>
    <w:bookmarkEnd w:id="72"/>
    <w:bookmarkEnd w:id="73"/>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sz w:val="28"/>
          <w:szCs w:val="28"/>
          <w:lang w:val="en-US"/>
        </w:rPr>
        <w:sectPr>
          <w:headerReference r:id="rId25" w:type="default"/>
          <w:footerReference r:id="rId27" w:type="default"/>
          <w:headerReference r:id="rId26" w:type="even"/>
          <w:footerReference r:id="rId28" w:type="even"/>
          <w:footnotePr>
            <w:numFmt w:val="decimal"/>
          </w:footnotePr>
          <w:pgSz w:w="11900" w:h="16840"/>
          <w:pgMar w:top="1598" w:right="1426" w:bottom="1598" w:left="1438" w:header="0" w:footer="3" w:gutter="0"/>
          <w:pgNumType w:fmt="decimal"/>
          <w:cols w:space="720" w:num="1"/>
          <w:rtlGutter w:val="0"/>
          <w:docGrid w:linePitch="360" w:charSpace="0"/>
        </w:sect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sz w:val="28"/>
          <w:szCs w:val="28"/>
          <w:lang w:val="en-US"/>
        </w:rPr>
      </w:pPr>
    </w:p>
    <w:sectPr>
      <w:headerReference r:id="rId29" w:type="default"/>
      <w:footerReference r:id="rId31" w:type="default"/>
      <w:headerReference r:id="rId30" w:type="even"/>
      <w:footerReference r:id="rId32" w:type="even"/>
      <w:footnotePr>
        <w:numFmt w:val="decimal"/>
      </w:footnotePr>
      <w:pgSz w:w="11900" w:h="16840"/>
      <w:pgMar w:top="1574" w:right="1810" w:bottom="1054" w:left="2326" w:header="0"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5304790</wp:posOffset>
              </wp:positionH>
              <wp:positionV relativeFrom="page">
                <wp:posOffset>6934835</wp:posOffset>
              </wp:positionV>
              <wp:extent cx="91440" cy="83820"/>
              <wp:effectExtent l="0" t="0" r="0" b="0"/>
              <wp:wrapNone/>
              <wp:docPr id="69" name="Shape 54"/>
              <wp:cNvGraphicFramePr/>
              <a:graphic xmlns:a="http://schemas.openxmlformats.org/drawingml/2006/main">
                <a:graphicData uri="http://schemas.microsoft.com/office/word/2010/wordprocessingShape">
                  <wps:wsp>
                    <wps:cNvSpPr txBox="1"/>
                    <wps:spPr>
                      <a:xfrm>
                        <a:off x="0" y="0"/>
                        <a:ext cx="91440" cy="838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wps:txbx>
                    <wps:bodyPr wrap="none" lIns="0" tIns="0" rIns="0" bIns="0">
                      <a:spAutoFit/>
                    </wps:bodyPr>
                  </wps:wsp>
                </a:graphicData>
              </a:graphic>
            </wp:anchor>
          </w:drawing>
        </mc:Choice>
        <mc:Fallback>
          <w:pict>
            <v:shape id="Shape 54" o:spid="_x0000_s1026" o:spt="202" type="#_x0000_t202" style="position:absolute;left:0pt;margin-left:417.7pt;margin-top:546.05pt;height:6.6pt;width:7.2pt;mso-position-horizontal-relative:page;mso-position-vertical-relative:page;mso-wrap-style:none;z-index:-251656192;mso-width-relative:page;mso-height-relative:page;" filled="f" stroked="f" coordsize="21600,21600" o:gfxdata="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lSxQNgA&#10;AAANAQAADwAAAAAAAAABACAAAAAiAAAAZHJzL2Rvd25yZXYueG1sUEsBAhQAFAAAAAgAh07iQPc4&#10;fVmtAQAAbw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18</w:t>
                    </w:r>
                    <w:r>
                      <w:rPr>
                        <w:rFonts w:hint="eastAsia" w:eastAsia="宋体"/>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3732530</wp:posOffset>
              </wp:positionH>
              <wp:positionV relativeFrom="page">
                <wp:posOffset>9960610</wp:posOffset>
              </wp:positionV>
              <wp:extent cx="91440" cy="83820"/>
              <wp:effectExtent l="0" t="0" r="0" b="0"/>
              <wp:wrapNone/>
              <wp:docPr id="64" name="Shape 64"/>
              <wp:cNvGraphicFramePr/>
              <a:graphic xmlns:a="http://schemas.openxmlformats.org/drawingml/2006/main">
                <a:graphicData uri="http://schemas.microsoft.com/office/word/2010/wordprocessingShape">
                  <wps:wsp>
                    <wps:cNvSpPr txBox="1"/>
                    <wps:spPr>
                      <a:xfrm>
                        <a:off x="0" y="0"/>
                        <a:ext cx="91440" cy="838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wps:txbx>
                    <wps:bodyPr wrap="none" lIns="0" tIns="0" rIns="0" bIns="0">
                      <a:spAutoFit/>
                    </wps:bodyPr>
                  </wps:wsp>
                </a:graphicData>
              </a:graphic>
            </wp:anchor>
          </w:drawing>
        </mc:Choice>
        <mc:Fallback>
          <w:pict>
            <v:shape id="Shape 64" o:spid="_x0000_s1026" o:spt="202" type="#_x0000_t202" style="position:absolute;left:0pt;margin-left:293.9pt;margin-top:784.3pt;height:6.6pt;width:7.2pt;mso-position-horizontal-relative:page;mso-position-vertical-relative:page;mso-wrap-style:none;z-index:-251656192;mso-width-relative:page;mso-height-relative:page;" filled="f" stroked="f" coordsize="21600,21600" o:gfxdata="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2sXa/XAAAA&#10;DQEAAA8AAAAAAAAAAQAgAAAAIgAAAGRycy9kb3ducmV2LnhtbFBLAQIUABQAAAAIAIdO4kBOZdf3&#10;rAEAAG8DAAAOAAAAAAAAAAEAIAAAACY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19</w:t>
                    </w:r>
                    <w:r>
                      <w:rPr>
                        <w:rFonts w:hint="eastAsia" w:eastAsia="宋体"/>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3704590</wp:posOffset>
              </wp:positionH>
              <wp:positionV relativeFrom="page">
                <wp:posOffset>9925050</wp:posOffset>
              </wp:positionV>
              <wp:extent cx="137160" cy="106680"/>
              <wp:effectExtent l="0" t="0" r="0" b="0"/>
              <wp:wrapNone/>
              <wp:docPr id="202" name="Shape 202"/>
              <wp:cNvGraphicFramePr/>
              <a:graphic xmlns:a="http://schemas.openxmlformats.org/drawingml/2006/main">
                <a:graphicData uri="http://schemas.microsoft.com/office/word/2010/wordprocessingShape">
                  <wps:wsp>
                    <wps:cNvSpPr txBox="1"/>
                    <wps:spPr>
                      <a:xfrm>
                        <a:off x="0" y="0"/>
                        <a:ext cx="137160" cy="10668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wps:txbx>
                    <wps:bodyPr wrap="none" lIns="0" tIns="0" rIns="0" bIns="0">
                      <a:spAutoFit/>
                    </wps:bodyPr>
                  </wps:wsp>
                </a:graphicData>
              </a:graphic>
            </wp:anchor>
          </w:drawing>
        </mc:Choice>
        <mc:Fallback>
          <w:pict>
            <v:shape id="Shape 202" o:spid="_x0000_s1026" o:spt="202" type="#_x0000_t202" style="position:absolute;left:0pt;margin-left:291.7pt;margin-top:781.5pt;height:8.4pt;width:10.8pt;mso-position-horizontal-relative:page;mso-position-vertical-relative:page;mso-wrap-style:none;z-index:-251656192;mso-width-relative:page;mso-height-relative:page;" filled="f" stroked="f" coordsize="21600,21600" o:gfxdata="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HA5MzY&#10;AAAADQEAAA8AAAAAAAAAAQAgAAAAIgAAAGRycy9kb3ducmV2LnhtbFBLAQIUABQAAAAIAIdO4kBj&#10;GeUirgEAAHMDAAAOAAAAAAAAAAEAIAAAACc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3747770</wp:posOffset>
              </wp:positionH>
              <wp:positionV relativeFrom="page">
                <wp:posOffset>9960610</wp:posOffset>
              </wp:positionV>
              <wp:extent cx="45720" cy="83820"/>
              <wp:effectExtent l="0" t="0" r="0" b="0"/>
              <wp:wrapNone/>
              <wp:docPr id="22" name="Shape 22"/>
              <wp:cNvGraphicFramePr/>
              <a:graphic xmlns:a="http://schemas.openxmlformats.org/drawingml/2006/main">
                <a:graphicData uri="http://schemas.microsoft.com/office/word/2010/wordprocessingShape">
                  <wps:wsp>
                    <wps:cNvSpPr txBox="1"/>
                    <wps:spPr>
                      <a:xfrm>
                        <a:off x="0" y="0"/>
                        <a:ext cx="45720" cy="838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wps:txbx>
                    <wps:bodyPr wrap="none" lIns="0" tIns="0" rIns="0" bIns="0">
                      <a:spAutoFit/>
                    </wps:bodyPr>
                  </wps:wsp>
                </a:graphicData>
              </a:graphic>
            </wp:anchor>
          </w:drawing>
        </mc:Choice>
        <mc:Fallback>
          <w:pict>
            <v:shape id="Shape 22" o:spid="_x0000_s1026" o:spt="202" type="#_x0000_t202" style="position:absolute;left:0pt;margin-left:295.1pt;margin-top:784.3pt;height:6.6pt;width:3.6pt;mso-position-horizontal-relative:page;mso-position-vertical-relative:page;mso-wrap-style:none;z-index:-251656192;mso-width-relative:page;mso-height-relative:page;" filled="f" stroked="f" coordsize="21600,21600" o:gfxdata="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nU3pDYAAAA&#10;DQEAAA8AAAAAAAAAAQAgAAAAIgAAAGRycy9kb3ducmV2LnhtbFBLAQIUABQAAAAIAIdO4kBdNSQx&#10;qwEAAG8DAAAOAAAAAAAAAAEAIAAAACc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5304790</wp:posOffset>
              </wp:positionH>
              <wp:positionV relativeFrom="page">
                <wp:posOffset>6934835</wp:posOffset>
              </wp:positionV>
              <wp:extent cx="91440" cy="83820"/>
              <wp:effectExtent l="0" t="0" r="0" b="0"/>
              <wp:wrapNone/>
              <wp:docPr id="65" name="Shape 44"/>
              <wp:cNvGraphicFramePr/>
              <a:graphic xmlns:a="http://schemas.openxmlformats.org/drawingml/2006/main">
                <a:graphicData uri="http://schemas.microsoft.com/office/word/2010/wordprocessingShape">
                  <wps:wsp>
                    <wps:cNvSpPr txBox="1"/>
                    <wps:spPr>
                      <a:xfrm>
                        <a:off x="0" y="0"/>
                        <a:ext cx="91440" cy="838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wps:txbx>
                    <wps:bodyPr wrap="none" lIns="0" tIns="0" rIns="0" bIns="0">
                      <a:spAutoFit/>
                    </wps:bodyPr>
                  </wps:wsp>
                </a:graphicData>
              </a:graphic>
            </wp:anchor>
          </w:drawing>
        </mc:Choice>
        <mc:Fallback>
          <w:pict>
            <v:shape id="Shape 44" o:spid="_x0000_s1026" o:spt="202" type="#_x0000_t202" style="position:absolute;left:0pt;margin-left:417.7pt;margin-top:546.05pt;height:6.6pt;width:7.2pt;mso-position-horizontal-relative:page;mso-position-vertical-relative:page;mso-wrap-style:none;z-index:-251656192;mso-width-relative:page;mso-height-relative:page;" filled="f" stroked="f" coordsize="21600,21600" o:gfxdata="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lSxQNgA&#10;AAANAQAADwAAAAAAAAABACAAAAAiAAAAZHJzL2Rvd25yZXYueG1sUEsBAhQAFAAAAAgAh07iQLyD&#10;giatAQAAbw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9"/>
                        <w:szCs w:val="19"/>
                      </w:rPr>
                      <w:t>#</w:t>
                    </w:r>
                    <w:r>
                      <w:rPr>
                        <w:rFonts w:ascii="Times New Roman" w:hAnsi="Times New Roman" w:eastAsia="Times New Roman" w:cs="Times New Roman"/>
                        <w:color w:val="000000"/>
                        <w:spacing w:val="0"/>
                        <w:w w:val="100"/>
                        <w:position w:val="0"/>
                        <w:sz w:val="19"/>
                        <w:szCs w:val="19"/>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pacing w:line="1" w:lineRule="exact"/>
    </w:pPr>
    <w:r>
      <mc:AlternateContent>
        <mc:Choice Requires="wps">
          <w:drawing>
            <wp:anchor distT="0" distB="0" distL="114300" distR="114300" simplePos="0" relativeHeight="251659264" behindDoc="1" locked="0" layoutInCell="1" allowOverlap="1">
              <wp:simplePos x="0" y="0"/>
              <wp:positionH relativeFrom="page">
                <wp:posOffset>890270</wp:posOffset>
              </wp:positionH>
              <wp:positionV relativeFrom="page">
                <wp:posOffset>713740</wp:posOffset>
              </wp:positionV>
              <wp:extent cx="5775960" cy="0"/>
              <wp:effectExtent l="0" t="0" r="0" b="0"/>
              <wp:wrapNone/>
              <wp:docPr id="16" name="Shape 16"/>
              <wp:cNvGraphicFramePr/>
              <a:graphic xmlns:a="http://schemas.openxmlformats.org/drawingml/2006/main">
                <a:graphicData uri="http://schemas.microsoft.com/office/word/2010/wordprocessingShape">
                  <wps:wsp>
                    <wps:cNvCnPr/>
                    <wps:spPr>
                      <a:xfrm>
                        <a:off x="0" y="0"/>
                        <a:ext cx="5775960" cy="0"/>
                      </a:xfrm>
                      <a:prstGeom prst="straightConnector1">
                        <a:avLst/>
                      </a:prstGeom>
                      <a:ln w="12700">
                        <a:solidFill>
                          <a:srgbClr val="FFFFFF"/>
                        </a:solidFill>
                      </a:ln>
                    </wps:spPr>
                    <wps:bodyPr/>
                  </wps:wsp>
                </a:graphicData>
              </a:graphic>
            </wp:anchor>
          </w:drawing>
        </mc:Choice>
        <mc:Fallback>
          <w:pict>
            <v:shape id="Shape 16" o:spid="_x0000_s1026" o:spt="32" type="#_x0000_t32" style="position:absolute;left:0pt;margin-left:70.1pt;margin-top:56.2pt;height:0pt;width:454.8pt;mso-position-horizontal-relative:page;mso-position-vertical-relative:page;z-index:-251657216;mso-width-relative:page;mso-height-relative:page;" filled="f" stroked="t" coordsize="21600,21600" o:gfxdata="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6g5dNtcAAAAMAQAADwAA&#10;AAAAAAABACAAAAAiAAAAZHJzL2Rvd25yZXYueG1sUEsBAhQAFAAAAAgAh07iQBBHw/elAQAAXAMA&#10;AA4AAAAAAAAAAQAgAAAAJgEAAGRycy9lMm9Eb2MueG1sUEsFBgAAAAAGAAYAWQEAAD0FAAAAAA==&#10;">
              <v:fill on="f" focussize="0,0"/>
              <v:stroke weight="1pt" color="#FFFFFF" joinstyle="round"/>
              <v:imagedata o:title=""/>
              <o:lock v:ext="edit" aspectratio="f"/>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4017010</wp:posOffset>
              </wp:positionH>
              <wp:positionV relativeFrom="page">
                <wp:posOffset>547370</wp:posOffset>
              </wp:positionV>
              <wp:extent cx="2659380" cy="106680"/>
              <wp:effectExtent l="0" t="0" r="0" b="0"/>
              <wp:wrapNone/>
              <wp:docPr id="67" name="Shape 51"/>
              <wp:cNvGraphicFramePr/>
              <a:graphic xmlns:a="http://schemas.openxmlformats.org/drawingml/2006/main">
                <a:graphicData uri="http://schemas.microsoft.com/office/word/2010/wordprocessingShape">
                  <wps:wsp>
                    <wps:cNvSpPr txBox="1"/>
                    <wps:spPr>
                      <a:xfrm>
                        <a:off x="0" y="0"/>
                        <a:ext cx="2659380" cy="10668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val="en-US" w:eastAsia="zh-CN"/>
                            </w:rPr>
                            <w:t>达州中医药职业学院</w:t>
                          </w:r>
                          <w:r>
                            <w:rPr>
                              <w:color w:val="000000"/>
                              <w:spacing w:val="0"/>
                              <w:w w:val="100"/>
                              <w:position w:val="0"/>
                            </w:rPr>
                            <w:t>教学研究与改革-专业建设标准</w:t>
                          </w:r>
                        </w:p>
                      </w:txbxContent>
                    </wps:txbx>
                    <wps:bodyPr wrap="none" lIns="0" tIns="0" rIns="0" bIns="0">
                      <a:spAutoFit/>
                    </wps:bodyPr>
                  </wps:wsp>
                </a:graphicData>
              </a:graphic>
            </wp:anchor>
          </w:drawing>
        </mc:Choice>
        <mc:Fallback>
          <w:pict>
            <v:shape id="Shape 51" o:spid="_x0000_s1026" o:spt="202" type="#_x0000_t202" style="position:absolute;left:0pt;margin-left:316.3pt;margin-top:43.1pt;height:8.4pt;width:209.4pt;mso-position-horizontal-relative:page;mso-position-vertical-relative:page;mso-wrap-style:none;z-index:-251656192;mso-width-relative:page;mso-height-relative:page;" filled="f" stroked="f" coordsize="21600,21600" o:gfxdata="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3bEk/1gAA&#10;AAsBAAAPAAAAAAAAAAEAIAAAACIAAABkcnMvZG93bnJldi54bWxQSwECFAAUAAAACACHTuJAhyhh&#10;YK4BAAByAwAADgAAAAAAAAABACAAAAAl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val="en-US" w:eastAsia="zh-CN"/>
                      </w:rPr>
                      <w:t>达州中医药职业学院</w:t>
                    </w:r>
                    <w:r>
                      <w:rPr>
                        <w:color w:val="000000"/>
                        <w:spacing w:val="0"/>
                        <w:w w:val="100"/>
                        <w:position w:val="0"/>
                      </w:rPr>
                      <w:t>教学研究与改革-专业建设标准</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900430</wp:posOffset>
              </wp:positionH>
              <wp:positionV relativeFrom="page">
                <wp:posOffset>827405</wp:posOffset>
              </wp:positionV>
              <wp:extent cx="8900160" cy="0"/>
              <wp:effectExtent l="0" t="0" r="0" b="0"/>
              <wp:wrapNone/>
              <wp:docPr id="68" name="Shape 53"/>
              <wp:cNvGraphicFramePr/>
              <a:graphic xmlns:a="http://schemas.openxmlformats.org/drawingml/2006/main">
                <a:graphicData uri="http://schemas.microsoft.com/office/word/2010/wordprocessingShape">
                  <wps:wsp>
                    <wps:cNvCnPr/>
                    <wps:spPr>
                      <a:xfrm>
                        <a:off x="0" y="0"/>
                        <a:ext cx="8900160" cy="0"/>
                      </a:xfrm>
                      <a:prstGeom prst="straightConnector1">
                        <a:avLst/>
                      </a:prstGeom>
                      <a:ln w="12700">
                        <a:solidFill>
                          <a:srgbClr val="FFFFFF"/>
                        </a:solidFill>
                      </a:ln>
                    </wps:spPr>
                    <wps:bodyPr/>
                  </wps:wsp>
                </a:graphicData>
              </a:graphic>
            </wp:anchor>
          </w:drawing>
        </mc:Choice>
        <mc:Fallback>
          <w:pict>
            <v:shape id="Shape 53" o:spid="_x0000_s1026" o:spt="32" type="#_x0000_t32" style="position:absolute;left:0pt;margin-left:70.9pt;margin-top:65.15pt;height:0pt;width:700.8pt;mso-position-horizontal-relative:page;mso-position-vertical-relative:page;z-index:-251657216;mso-width-relative:page;mso-height-relative:page;" filled="f" stroked="t" coordsize="21600,21600" o:gfxdata="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63YRjXAAAADAEAAA8A&#10;AAAAAAAAAQAgAAAAIgAAAGRycy9kb3ducmV2LnhtbFBLAQIUABQAAAAIAIdO4kCbIKwApgEAAFwD&#10;AAAOAAAAAAAAAAEAIAAAACYBAABkcnMvZTJvRG9jLnhtbFBLBQYAAAAABgAGAFkBAAA+BQAAAAA=&#10;">
              <v:fill on="f" focussize="0,0"/>
              <v:stroke weight="1pt" color="#FFFFFF" joinstyle="round"/>
              <v:imagedata o:title=""/>
              <o:lock v:ext="edit" aspectratio="f"/>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890270</wp:posOffset>
              </wp:positionH>
              <wp:positionV relativeFrom="page">
                <wp:posOffset>713740</wp:posOffset>
              </wp:positionV>
              <wp:extent cx="5775960" cy="0"/>
              <wp:effectExtent l="0" t="0" r="0" b="0"/>
              <wp:wrapNone/>
              <wp:docPr id="58" name="Shape 58"/>
              <wp:cNvGraphicFramePr/>
              <a:graphic xmlns:a="http://schemas.openxmlformats.org/drawingml/2006/main">
                <a:graphicData uri="http://schemas.microsoft.com/office/word/2010/wordprocessingShape">
                  <wps:wsp>
                    <wps:cNvCnPr/>
                    <wps:spPr>
                      <a:xfrm>
                        <a:off x="0" y="0"/>
                        <a:ext cx="5775960" cy="0"/>
                      </a:xfrm>
                      <a:prstGeom prst="straightConnector1">
                        <a:avLst/>
                      </a:prstGeom>
                      <a:ln w="12700">
                        <a:solidFill>
                          <a:srgbClr val="FFFFFF"/>
                        </a:solidFill>
                      </a:ln>
                    </wps:spPr>
                    <wps:bodyPr/>
                  </wps:wsp>
                </a:graphicData>
              </a:graphic>
            </wp:anchor>
          </w:drawing>
        </mc:Choice>
        <mc:Fallback>
          <w:pict>
            <v:shape id="Shape 58" o:spid="_x0000_s1026" o:spt="32" type="#_x0000_t32" style="position:absolute;left:0pt;margin-left:70.1pt;margin-top:56.2pt;height:0pt;width:454.8pt;mso-position-horizontal-relative:page;mso-position-vertical-relative:page;z-index:-251657216;mso-width-relative:page;mso-height-relative:page;" filled="f" stroked="t" coordsize="21600,21600" o:gfxdata="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oOXTbXAAAADAEAAA8A&#10;AAAAAAAAAQAgAAAAIgAAAGRycy9kb3ducmV2LnhtbFBLAQIUABQAAAAIAIdO4kA9C7y8pgEAAFwD&#10;AAAOAAAAAAAAAAEAIAAAACYBAABkcnMvZTJvRG9jLnhtbFBLBQYAAAAABgAGAFkBAAA+BQAAAAA=&#10;">
              <v:fill on="f" focussize="0,0"/>
              <v:stroke weight="1pt" color="#FFFFFF" joinstyle="round"/>
              <v:imagedata o:title=""/>
              <o:lock v:ext="edit" aspectratio="f"/>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2444750</wp:posOffset>
              </wp:positionH>
              <wp:positionV relativeFrom="page">
                <wp:posOffset>557530</wp:posOffset>
              </wp:positionV>
              <wp:extent cx="2659380" cy="106680"/>
              <wp:effectExtent l="0" t="0" r="0" b="0"/>
              <wp:wrapNone/>
              <wp:docPr id="61" name="Shape 61"/>
              <wp:cNvGraphicFramePr/>
              <a:graphic xmlns:a="http://schemas.openxmlformats.org/drawingml/2006/main">
                <a:graphicData uri="http://schemas.microsoft.com/office/word/2010/wordprocessingShape">
                  <wps:wsp>
                    <wps:cNvSpPr txBox="1"/>
                    <wps:spPr>
                      <a:xfrm>
                        <a:off x="0" y="0"/>
                        <a:ext cx="2659380" cy="10668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西安电力髙等专科学校教学研究与改革-专业建设标准</w:t>
                          </w:r>
                        </w:p>
                      </w:txbxContent>
                    </wps:txbx>
                    <wps:bodyPr wrap="none" lIns="0" tIns="0" rIns="0" bIns="0">
                      <a:spAutoFit/>
                    </wps:bodyPr>
                  </wps:wsp>
                </a:graphicData>
              </a:graphic>
            </wp:anchor>
          </w:drawing>
        </mc:Choice>
        <mc:Fallback>
          <w:pict>
            <v:shape id="Shape 61" o:spid="_x0000_s1026" o:spt="202" type="#_x0000_t202" style="position:absolute;left:0pt;margin-left:192.5pt;margin-top:43.9pt;height:8.4pt;width:209.4pt;mso-position-horizontal-relative:page;mso-position-vertical-relative:page;mso-wrap-style:none;z-index:-251656192;mso-width-relative:page;mso-height-relative:page;" filled="f" stroked="f" coordsize="21600,21600" o:gfxdata="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xxQUPWAAAA&#10;CgEAAA8AAAAAAAAAAQAgAAAAIgAAAGRycy9kb3ducmV2LnhtbFBLAQIUABQAAAAIAIdO4kDp6te7&#10;rQEAAHIDAAAOAAAAAAAAAAEAIAAAACU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西安电力髙等专科学校教学研究与改革-专业建设标准</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890270</wp:posOffset>
              </wp:positionH>
              <wp:positionV relativeFrom="page">
                <wp:posOffset>713740</wp:posOffset>
              </wp:positionV>
              <wp:extent cx="5775960" cy="0"/>
              <wp:effectExtent l="0" t="0" r="0" b="0"/>
              <wp:wrapNone/>
              <wp:docPr id="63" name="Shape 63"/>
              <wp:cNvGraphicFramePr/>
              <a:graphic xmlns:a="http://schemas.openxmlformats.org/drawingml/2006/main">
                <a:graphicData uri="http://schemas.microsoft.com/office/word/2010/wordprocessingShape">
                  <wps:wsp>
                    <wps:cNvCnPr/>
                    <wps:spPr>
                      <a:xfrm>
                        <a:off x="0" y="0"/>
                        <a:ext cx="5775960" cy="0"/>
                      </a:xfrm>
                      <a:prstGeom prst="straightConnector1">
                        <a:avLst/>
                      </a:prstGeom>
                      <a:ln w="12700">
                        <a:solidFill>
                          <a:srgbClr val="FFFFFF"/>
                        </a:solidFill>
                      </a:ln>
                    </wps:spPr>
                    <wps:bodyPr/>
                  </wps:wsp>
                </a:graphicData>
              </a:graphic>
            </wp:anchor>
          </w:drawing>
        </mc:Choice>
        <mc:Fallback>
          <w:pict>
            <v:shape id="Shape 63" o:spid="_x0000_s1026" o:spt="32" type="#_x0000_t32" style="position:absolute;left:0pt;margin-left:70.1pt;margin-top:56.2pt;height:0pt;width:454.8pt;mso-position-horizontal-relative:page;mso-position-vertical-relative:page;z-index:-251657216;mso-width-relative:page;mso-height-relative:page;" filled="f" stroked="t" coordsize="21600,21600" o:gfxdata="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oOXTbXAAAADAEAAA8A&#10;AAAAAAAAAQAgAAAAIgAAAGRycy9kb3ducmV2LnhtbFBLAQIUABQAAAAIAIdO4kD9Doa6pgEAAFwD&#10;AAAOAAAAAAAAAAEAIAAAACYBAABkcnMvZTJvRG9jLnhtbFBLBQYAAAAABgAGAFkBAAA+BQAAAAA=&#10;">
              <v:fill on="f" focussize="0,0"/>
              <v:stroke weight="1pt" color="#FFFFFF" joinstyle="round"/>
              <v:imagedata o:title=""/>
              <o:lock v:ext="edit" aspectratio="f"/>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2444750</wp:posOffset>
              </wp:positionH>
              <wp:positionV relativeFrom="page">
                <wp:posOffset>557530</wp:posOffset>
              </wp:positionV>
              <wp:extent cx="2659380" cy="106680"/>
              <wp:effectExtent l="0" t="0" r="0" b="0"/>
              <wp:wrapNone/>
              <wp:docPr id="19" name="Shape 19"/>
              <wp:cNvGraphicFramePr/>
              <a:graphic xmlns:a="http://schemas.openxmlformats.org/drawingml/2006/main">
                <a:graphicData uri="http://schemas.microsoft.com/office/word/2010/wordprocessingShape">
                  <wps:wsp>
                    <wps:cNvSpPr txBox="1"/>
                    <wps:spPr>
                      <a:xfrm>
                        <a:off x="0" y="0"/>
                        <a:ext cx="2659380" cy="10668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val="en-US" w:eastAsia="zh-CN"/>
                            </w:rPr>
                            <w:t>达州中医药职业学院</w:t>
                          </w:r>
                          <w:r>
                            <w:rPr>
                              <w:color w:val="000000"/>
                              <w:spacing w:val="0"/>
                              <w:w w:val="100"/>
                              <w:position w:val="0"/>
                            </w:rPr>
                            <w:t>教学研究与改革-专业建设标准</w:t>
                          </w:r>
                        </w:p>
                      </w:txbxContent>
                    </wps:txbx>
                    <wps:bodyPr wrap="none" lIns="0" tIns="0" rIns="0" bIns="0">
                      <a:spAutoFit/>
                    </wps:bodyPr>
                  </wps:wsp>
                </a:graphicData>
              </a:graphic>
            </wp:anchor>
          </w:drawing>
        </mc:Choice>
        <mc:Fallback>
          <w:pict>
            <v:shape id="Shape 19" o:spid="_x0000_s1026" o:spt="202" type="#_x0000_t202" style="position:absolute;left:0pt;margin-left:192.5pt;margin-top:43.9pt;height:8.4pt;width:209.4pt;mso-position-horizontal-relative:page;mso-position-vertical-relative:page;mso-wrap-style:none;z-index:-251656192;mso-width-relative:page;mso-height-relative:page;" filled="f" stroked="f" coordsize="21600,21600" o:gfxdata="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xxQUPWAAAA&#10;CgEAAA8AAAAAAAAAAQAgAAAAIgAAAGRycy9kb3ducmV2LnhtbFBLAQIUABQAAAAIAIdO4kCDevuA&#10;rQEAAHIDAAAOAAAAAAAAAAEAIAAAACU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val="en-US" w:eastAsia="zh-CN"/>
                      </w:rPr>
                      <w:t>达州中医药职业学院</w:t>
                    </w:r>
                    <w:r>
                      <w:rPr>
                        <w:color w:val="000000"/>
                        <w:spacing w:val="0"/>
                        <w:w w:val="100"/>
                        <w:position w:val="0"/>
                      </w:rPr>
                      <w:t>教学研究与改革-专业建设标准</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890270</wp:posOffset>
              </wp:positionH>
              <wp:positionV relativeFrom="page">
                <wp:posOffset>713740</wp:posOffset>
              </wp:positionV>
              <wp:extent cx="5775960" cy="0"/>
              <wp:effectExtent l="0" t="0" r="0" b="0"/>
              <wp:wrapNone/>
              <wp:docPr id="21" name="Shape 21"/>
              <wp:cNvGraphicFramePr/>
              <a:graphic xmlns:a="http://schemas.openxmlformats.org/drawingml/2006/main">
                <a:graphicData uri="http://schemas.microsoft.com/office/word/2010/wordprocessingShape">
                  <wps:wsp>
                    <wps:cNvCnPr/>
                    <wps:spPr>
                      <a:xfrm>
                        <a:off x="0" y="0"/>
                        <a:ext cx="5775960" cy="0"/>
                      </a:xfrm>
                      <a:prstGeom prst="straightConnector1">
                        <a:avLst/>
                      </a:prstGeom>
                      <a:ln w="12700">
                        <a:solidFill>
                          <a:srgbClr val="FFFFFF"/>
                        </a:solidFill>
                      </a:ln>
                    </wps:spPr>
                    <wps:bodyPr/>
                  </wps:wsp>
                </a:graphicData>
              </a:graphic>
            </wp:anchor>
          </w:drawing>
        </mc:Choice>
        <mc:Fallback>
          <w:pict>
            <v:shape id="Shape 21" o:spid="_x0000_s1026" o:spt="32" type="#_x0000_t32" style="position:absolute;left:0pt;margin-left:70.1pt;margin-top:56.2pt;height:0pt;width:454.8pt;mso-position-horizontal-relative:page;mso-position-vertical-relative:page;z-index:-251657216;mso-width-relative:page;mso-height-relative:page;" filled="f" stroked="t" coordsize="21600,21600" o:gfxdata="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oOXTbXAAAADAEAAA8A&#10;AAAAAAAAAQAgAAAAIgAAAGRycy9kb3ducmV2LnhtbFBLAQIUABQAAAAIAIdO4kDl8+HepgEAAFwD&#10;AAAOAAAAAAAAAAEAIAAAACYBAABkcnMvZTJvRG9jLnhtbFBLBQYAAAAABgAGAFkBAAA+BQAAAAA=&#10;">
              <v:fill on="f" focussize="0,0"/>
              <v:stroke weight="1pt" color="#FFFFFF"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1" locked="0" layoutInCell="1" allowOverlap="1">
              <wp:simplePos x="0" y="0"/>
              <wp:positionH relativeFrom="page">
                <wp:posOffset>890270</wp:posOffset>
              </wp:positionH>
              <wp:positionV relativeFrom="page">
                <wp:posOffset>713740</wp:posOffset>
              </wp:positionV>
              <wp:extent cx="5775960" cy="0"/>
              <wp:effectExtent l="0" t="0" r="0" b="0"/>
              <wp:wrapNone/>
              <wp:docPr id="26" name="Shape 26"/>
              <wp:cNvGraphicFramePr/>
              <a:graphic xmlns:a="http://schemas.openxmlformats.org/drawingml/2006/main">
                <a:graphicData uri="http://schemas.microsoft.com/office/word/2010/wordprocessingShape">
                  <wps:wsp>
                    <wps:cNvCnPr/>
                    <wps:spPr>
                      <a:xfrm>
                        <a:off x="0" y="0"/>
                        <a:ext cx="5775960" cy="0"/>
                      </a:xfrm>
                      <a:prstGeom prst="straightConnector1">
                        <a:avLst/>
                      </a:prstGeom>
                      <a:ln w="12700">
                        <a:solidFill>
                          <a:srgbClr val="FFFFFF"/>
                        </a:solidFill>
                      </a:ln>
                    </wps:spPr>
                    <wps:bodyPr/>
                  </wps:wsp>
                </a:graphicData>
              </a:graphic>
            </wp:anchor>
          </w:drawing>
        </mc:Choice>
        <mc:Fallback>
          <w:pict>
            <v:shape id="Shape 26" o:spid="_x0000_s1026" o:spt="32" type="#_x0000_t32" style="position:absolute;left:0pt;margin-left:70.1pt;margin-top:56.2pt;height:0pt;width:454.8pt;mso-position-horizontal-relative:page;mso-position-vertical-relative:page;z-index:-251657216;mso-width-relative:page;mso-height-relative:page;" filled="f" stroked="t" coordsize="21600,21600" o:gfxdata="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oOXTbXAAAADAEAAA8A&#10;AAAAAAAAAQAgAAAAIgAAAGRycy9kb3ducmV2LnhtbFBLAQIUABQAAAAIAIdO4kAU89wPpgEAAFwD&#10;AAAOAAAAAAAAAAEAIAAAACYBAABkcnMvZTJvRG9jLnhtbFBLBQYAAAAABgAGAFkBAAA+BQAAAAA=&#10;">
              <v:fill on="f" focussize="0,0"/>
              <v:stroke weight="1pt" color="#FFFFFF"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890270</wp:posOffset>
              </wp:positionH>
              <wp:positionV relativeFrom="page">
                <wp:posOffset>713740</wp:posOffset>
              </wp:positionV>
              <wp:extent cx="5775960" cy="0"/>
              <wp:effectExtent l="0" t="6350" r="2540" b="6350"/>
              <wp:wrapNone/>
              <wp:docPr id="55" name="Shape 29"/>
              <wp:cNvGraphicFramePr/>
              <a:graphic xmlns:a="http://schemas.openxmlformats.org/drawingml/2006/main">
                <a:graphicData uri="http://schemas.microsoft.com/office/word/2010/wordprocessingShape">
                  <wps:wsp>
                    <wps:cNvCnPr/>
                    <wps:spPr>
                      <a:xfrm>
                        <a:off x="0" y="0"/>
                        <a:ext cx="5775960" cy="0"/>
                      </a:xfrm>
                      <a:prstGeom prst="straightConnector1">
                        <a:avLst/>
                      </a:prstGeom>
                      <a:ln w="12700">
                        <a:solidFill>
                          <a:srgbClr val="FFFFFF"/>
                        </a:solidFill>
                      </a:ln>
                    </wps:spPr>
                    <wps:bodyPr/>
                  </wps:wsp>
                </a:graphicData>
              </a:graphic>
            </wp:anchor>
          </w:drawing>
        </mc:Choice>
        <mc:Fallback>
          <w:pict>
            <v:shape id="Shape 29" o:spid="_x0000_s1026" o:spt="32" type="#_x0000_t32" style="position:absolute;left:0pt;margin-left:70.1pt;margin-top:56.2pt;height:0pt;width:454.8pt;mso-position-horizontal-relative:page;mso-position-vertical-relative:page;z-index:-251657216;mso-width-relative:page;mso-height-relative:page;" filled="f" stroked="t" coordsize="21600,21600" o:gfxdata="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qDl021wAAAAwBAAAP&#10;AAAAAAAAAAEAIAAAACIAAABkcnMvZG93bnJldi54bWxQSwECFAAUAAAACACHTuJAlRnxKqcBAABc&#10;AwAADgAAAAAAAAABACAAAAAmAQAAZHJzL2Uyb0RvYy54bWxQSwUGAAAAAAYABgBZAQAAPwUAAAAA&#10;">
              <v:fill on="f" focussize="0,0"/>
              <v:stroke weight="1pt" color="#FFFFFF" joinstyle="round"/>
              <v:imagedata o:title=""/>
              <o:lock v:ext="edit" aspectratio="f"/>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2444750</wp:posOffset>
              </wp:positionH>
              <wp:positionV relativeFrom="page">
                <wp:posOffset>557530</wp:posOffset>
              </wp:positionV>
              <wp:extent cx="2659380" cy="106680"/>
              <wp:effectExtent l="0" t="0" r="0" b="0"/>
              <wp:wrapNone/>
              <wp:docPr id="56" name="Shape 30"/>
              <wp:cNvGraphicFramePr/>
              <a:graphic xmlns:a="http://schemas.openxmlformats.org/drawingml/2006/main">
                <a:graphicData uri="http://schemas.microsoft.com/office/word/2010/wordprocessingShape">
                  <wps:wsp>
                    <wps:cNvSpPr txBox="1"/>
                    <wps:spPr>
                      <a:xfrm>
                        <a:off x="0" y="0"/>
                        <a:ext cx="2659380" cy="10668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7"/>
                              <w:szCs w:val="17"/>
                            </w:rPr>
                          </w:pPr>
                          <w:r>
                            <w:rPr>
                              <w:rFonts w:hint="eastAsia" w:ascii="宋体" w:hAnsi="宋体" w:eastAsia="宋体" w:cs="宋体"/>
                              <w:color w:val="000000"/>
                              <w:spacing w:val="0"/>
                              <w:w w:val="100"/>
                              <w:position w:val="0"/>
                              <w:sz w:val="17"/>
                              <w:szCs w:val="17"/>
                              <w:lang w:val="en-US" w:eastAsia="zh-CN"/>
                            </w:rPr>
                            <w:t>达州中医药职业学院</w:t>
                          </w:r>
                          <w:r>
                            <w:rPr>
                              <w:rFonts w:ascii="宋体" w:hAnsi="宋体" w:eastAsia="宋体" w:cs="宋体"/>
                              <w:color w:val="000000"/>
                              <w:spacing w:val="0"/>
                              <w:w w:val="100"/>
                              <w:position w:val="0"/>
                              <w:sz w:val="17"/>
                              <w:szCs w:val="17"/>
                            </w:rPr>
                            <w:t>教学研究与改革-专业建设标准</w:t>
                          </w:r>
                        </w:p>
                      </w:txbxContent>
                    </wps:txbx>
                    <wps:bodyPr wrap="none" lIns="0" tIns="0" rIns="0" bIns="0">
                      <a:spAutoFit/>
                    </wps:bodyPr>
                  </wps:wsp>
                </a:graphicData>
              </a:graphic>
            </wp:anchor>
          </w:drawing>
        </mc:Choice>
        <mc:Fallback>
          <w:pict>
            <v:shape id="Shape 30" o:spid="_x0000_s1026" o:spt="202" type="#_x0000_t202" style="position:absolute;left:0pt;margin-left:192.5pt;margin-top:43.9pt;height:8.4pt;width:209.4pt;mso-position-horizontal-relative:page;mso-position-vertical-relative:page;mso-wrap-style:none;z-index:-251656192;mso-width-relative:page;mso-height-relative:page;" filled="f" stroked="f" coordsize="21600,21600" o:gfxdata="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xxQUPWAAAA&#10;CgEAAA8AAAAAAAAAAQAgAAAAIgAAAGRycy9kb3ducmV2LnhtbFBLAQIUABQAAAAIAIdO4kB0omc0&#10;rQEAAHIDAAAOAAAAAAAAAAEAIAAAACUBAABkcnMvZTJvRG9jLnhtbFBLBQYAAAAABgAGAFkBAABE&#10;BQ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7"/>
                        <w:szCs w:val="17"/>
                      </w:rPr>
                    </w:pPr>
                    <w:r>
                      <w:rPr>
                        <w:rFonts w:hint="eastAsia" w:ascii="宋体" w:hAnsi="宋体" w:eastAsia="宋体" w:cs="宋体"/>
                        <w:color w:val="000000"/>
                        <w:spacing w:val="0"/>
                        <w:w w:val="100"/>
                        <w:position w:val="0"/>
                        <w:sz w:val="17"/>
                        <w:szCs w:val="17"/>
                        <w:lang w:val="en-US" w:eastAsia="zh-CN"/>
                      </w:rPr>
                      <w:t>达州中医药职业学院</w:t>
                    </w:r>
                    <w:r>
                      <w:rPr>
                        <w:rFonts w:ascii="宋体" w:hAnsi="宋体" w:eastAsia="宋体" w:cs="宋体"/>
                        <w:color w:val="000000"/>
                        <w:spacing w:val="0"/>
                        <w:w w:val="100"/>
                        <w:position w:val="0"/>
                        <w:sz w:val="17"/>
                        <w:szCs w:val="17"/>
                      </w:rPr>
                      <w:t>教学研究与改革-专业建设标准</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890270</wp:posOffset>
              </wp:positionH>
              <wp:positionV relativeFrom="page">
                <wp:posOffset>713740</wp:posOffset>
              </wp:positionV>
              <wp:extent cx="5775960" cy="0"/>
              <wp:effectExtent l="0" t="0" r="0" b="0"/>
              <wp:wrapNone/>
              <wp:docPr id="57" name="Shape 32"/>
              <wp:cNvGraphicFramePr/>
              <a:graphic xmlns:a="http://schemas.openxmlformats.org/drawingml/2006/main">
                <a:graphicData uri="http://schemas.microsoft.com/office/word/2010/wordprocessingShape">
                  <wps:wsp>
                    <wps:cNvCnPr/>
                    <wps:spPr>
                      <a:xfrm>
                        <a:off x="0" y="0"/>
                        <a:ext cx="5775960" cy="0"/>
                      </a:xfrm>
                      <a:prstGeom prst="straightConnector1">
                        <a:avLst/>
                      </a:prstGeom>
                      <a:ln w="12700">
                        <a:solidFill>
                          <a:srgbClr val="FFFFFF"/>
                        </a:solidFill>
                      </a:ln>
                    </wps:spPr>
                    <wps:bodyPr/>
                  </wps:wsp>
                </a:graphicData>
              </a:graphic>
            </wp:anchor>
          </w:drawing>
        </mc:Choice>
        <mc:Fallback>
          <w:pict>
            <v:shape id="Shape 32" o:spid="_x0000_s1026" o:spt="32" type="#_x0000_t32" style="position:absolute;left:0pt;margin-left:70.1pt;margin-top:56.2pt;height:0pt;width:454.8pt;mso-position-horizontal-relative:page;mso-position-vertical-relative:page;z-index:-251657216;mso-width-relative:page;mso-height-relative:page;" filled="f" stroked="t" coordsize="21600,21600" o:gfxdata="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qDl021wAAAAwBAAAP&#10;AAAAAAAAAAEAIAAAACIAAABkcnMvZG93bnJldi54bWxQSwECFAAUAAAACACHTuJAOgyz86cBAABc&#10;AwAADgAAAAAAAAABACAAAAAmAQAAZHJzL2Uyb0RvYy54bWxQSwUGAAAAAAYABgBZAQAAPwUAAAAA&#10;">
              <v:fill on="f" focussize="0,0"/>
              <v:stroke weight="1pt" color="#FFFFFF" joinstyle="round"/>
              <v:imagedata o:title=""/>
              <o:lock v:ext="edit" aspectratio="f"/>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900430</wp:posOffset>
              </wp:positionH>
              <wp:positionV relativeFrom="page">
                <wp:posOffset>703580</wp:posOffset>
              </wp:positionV>
              <wp:extent cx="8900160" cy="0"/>
              <wp:effectExtent l="0" t="0" r="0" b="0"/>
              <wp:wrapNone/>
              <wp:docPr id="52" name="Shape 35"/>
              <wp:cNvGraphicFramePr/>
              <a:graphic xmlns:a="http://schemas.openxmlformats.org/drawingml/2006/main">
                <a:graphicData uri="http://schemas.microsoft.com/office/word/2010/wordprocessingShape">
                  <wps:wsp>
                    <wps:cNvCnPr/>
                    <wps:spPr>
                      <a:xfrm>
                        <a:off x="0" y="0"/>
                        <a:ext cx="8900160" cy="0"/>
                      </a:xfrm>
                      <a:prstGeom prst="straightConnector1">
                        <a:avLst/>
                      </a:prstGeom>
                      <a:ln w="12700">
                        <a:solidFill>
                          <a:srgbClr val="FFFFFF"/>
                        </a:solidFill>
                      </a:ln>
                    </wps:spPr>
                    <wps:bodyPr/>
                  </wps:wsp>
                </a:graphicData>
              </a:graphic>
            </wp:anchor>
          </w:drawing>
        </mc:Choice>
        <mc:Fallback>
          <w:pict>
            <v:shape id="Shape 35" o:spid="_x0000_s1026" o:spt="32" type="#_x0000_t32" style="position:absolute;left:0pt;margin-left:70.9pt;margin-top:55.4pt;height:0pt;width:700.8pt;mso-position-horizontal-relative:page;mso-position-vertical-relative:page;z-index:-251657216;mso-width-relative:page;mso-height-relative:page;" filled="f" stroked="t" coordsize="21600,21600" o:gfxdata="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H1IynWAAAADAEAAA8A&#10;AAAAAAAAAQAgAAAAIgAAAGRycy9kb3ducmV2LnhtbFBLAQIUABQAAAAIAIdO4kB5iregpwEAAFwD&#10;AAAOAAAAAAAAAAEAIAAAACUBAABkcnMvZTJvRG9jLnhtbFBLBQYAAAAABgAGAFkBAAA+BQAAAAA=&#10;">
              <v:fill on="f" focussize="0,0"/>
              <v:stroke weight="1pt" color="#FFFFFF" joinstyle="round"/>
              <v:imagedata o:title=""/>
              <o:lock v:ext="edit" aspectratio="f"/>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900430</wp:posOffset>
              </wp:positionH>
              <wp:positionV relativeFrom="page">
                <wp:posOffset>827405</wp:posOffset>
              </wp:positionV>
              <wp:extent cx="8900160" cy="0"/>
              <wp:effectExtent l="0" t="6350" r="2540" b="6350"/>
              <wp:wrapNone/>
              <wp:docPr id="59" name="Shape 38"/>
              <wp:cNvGraphicFramePr/>
              <a:graphic xmlns:a="http://schemas.openxmlformats.org/drawingml/2006/main">
                <a:graphicData uri="http://schemas.microsoft.com/office/word/2010/wordprocessingShape">
                  <wps:wsp>
                    <wps:cNvCnPr/>
                    <wps:spPr>
                      <a:xfrm>
                        <a:off x="0" y="0"/>
                        <a:ext cx="8900160" cy="0"/>
                      </a:xfrm>
                      <a:prstGeom prst="straightConnector1">
                        <a:avLst/>
                      </a:prstGeom>
                      <a:ln w="12700">
                        <a:solidFill>
                          <a:srgbClr val="FFFFFF"/>
                        </a:solidFill>
                      </a:ln>
                    </wps:spPr>
                    <wps:bodyPr/>
                  </wps:wsp>
                </a:graphicData>
              </a:graphic>
            </wp:anchor>
          </w:drawing>
        </mc:Choice>
        <mc:Fallback>
          <w:pict>
            <v:shape id="Shape 38" o:spid="_x0000_s1026" o:spt="32" type="#_x0000_t32" style="position:absolute;left:0pt;margin-left:70.9pt;margin-top:65.15pt;height:0pt;width:700.8pt;mso-position-horizontal-relative:page;mso-position-vertical-relative:page;z-index:-251657216;mso-width-relative:page;mso-height-relative:page;" filled="f" stroked="t" coordsize="21600,21600" o:gfxdata="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t2EY1wAAAAwBAAAP&#10;AAAAAAAAAAEAIAAAACIAAABkcnMvZG93bnJldi54bWxQSwECFAAUAAAACACHTuJAiU9zdqcBAABc&#10;AwAADgAAAAAAAAABACAAAAAmAQAAZHJzL2Uyb0RvYy54bWxQSwUGAAAAAAYABgBZAQAAPwUAAAAA&#10;">
              <v:fill on="f" focussize="0,0"/>
              <v:stroke weight="1pt" color="#FFFFFF" joinstyle="round"/>
              <v:imagedata o:title=""/>
              <o:lock v:ext="edit" aspectratio="f"/>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4017010</wp:posOffset>
              </wp:positionH>
              <wp:positionV relativeFrom="page">
                <wp:posOffset>547370</wp:posOffset>
              </wp:positionV>
              <wp:extent cx="2659380" cy="106680"/>
              <wp:effectExtent l="0" t="0" r="0" b="0"/>
              <wp:wrapNone/>
              <wp:docPr id="60" name="Shape 41"/>
              <wp:cNvGraphicFramePr/>
              <a:graphic xmlns:a="http://schemas.openxmlformats.org/drawingml/2006/main">
                <a:graphicData uri="http://schemas.microsoft.com/office/word/2010/wordprocessingShape">
                  <wps:wsp>
                    <wps:cNvSpPr txBox="1"/>
                    <wps:spPr>
                      <a:xfrm>
                        <a:off x="0" y="0"/>
                        <a:ext cx="2659380" cy="10668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val="en-US" w:eastAsia="zh-CN"/>
                            </w:rPr>
                            <w:t>达州中医药职业学院</w:t>
                          </w:r>
                          <w:r>
                            <w:rPr>
                              <w:color w:val="000000"/>
                              <w:spacing w:val="0"/>
                              <w:w w:val="100"/>
                              <w:position w:val="0"/>
                            </w:rPr>
                            <w:t>教学研究与改革-专业建设标准</w:t>
                          </w:r>
                        </w:p>
                      </w:txbxContent>
                    </wps:txbx>
                    <wps:bodyPr wrap="none" lIns="0" tIns="0" rIns="0" bIns="0">
                      <a:spAutoFit/>
                    </wps:bodyPr>
                  </wps:wsp>
                </a:graphicData>
              </a:graphic>
            </wp:anchor>
          </w:drawing>
        </mc:Choice>
        <mc:Fallback>
          <w:pict>
            <v:shape id="Shape 41" o:spid="_x0000_s1026" o:spt="202" type="#_x0000_t202" style="position:absolute;left:0pt;margin-left:316.3pt;margin-top:43.1pt;height:8.4pt;width:209.4pt;mso-position-horizontal-relative:page;mso-position-vertical-relative:page;mso-wrap-style:none;z-index:-251656192;mso-width-relative:page;mso-height-relative:page;" filled="f" stroked="f" coordsize="21600,21600" o:gfxdata="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dsST/WAAAA&#10;CwEAAA8AAAAAAAAAAQAgAAAAIgAAAGRycy9kb3ducmV2LnhtbFBLAQIUABQAAAAIAIdO4kCXvLIe&#10;rQEAAHIDAAAOAAAAAAAAAAEAIAAAACU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val="en-US" w:eastAsia="zh-CN"/>
                      </w:rPr>
                      <w:t>达州中医药职业学院</w:t>
                    </w:r>
                    <w:r>
                      <w:rPr>
                        <w:color w:val="000000"/>
                        <w:spacing w:val="0"/>
                        <w:w w:val="100"/>
                        <w:position w:val="0"/>
                      </w:rPr>
                      <w:t>教学研究与改革-专业建设标准</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900430</wp:posOffset>
              </wp:positionH>
              <wp:positionV relativeFrom="page">
                <wp:posOffset>827405</wp:posOffset>
              </wp:positionV>
              <wp:extent cx="8900160" cy="0"/>
              <wp:effectExtent l="0" t="0" r="0" b="0"/>
              <wp:wrapNone/>
              <wp:docPr id="62" name="Shape 43"/>
              <wp:cNvGraphicFramePr/>
              <a:graphic xmlns:a="http://schemas.openxmlformats.org/drawingml/2006/main">
                <a:graphicData uri="http://schemas.microsoft.com/office/word/2010/wordprocessingShape">
                  <wps:wsp>
                    <wps:cNvCnPr/>
                    <wps:spPr>
                      <a:xfrm>
                        <a:off x="0" y="0"/>
                        <a:ext cx="8900160" cy="0"/>
                      </a:xfrm>
                      <a:prstGeom prst="straightConnector1">
                        <a:avLst/>
                      </a:prstGeom>
                      <a:ln w="12700">
                        <a:solidFill>
                          <a:srgbClr val="FFFFFF"/>
                        </a:solidFill>
                      </a:ln>
                    </wps:spPr>
                    <wps:bodyPr/>
                  </wps:wsp>
                </a:graphicData>
              </a:graphic>
            </wp:anchor>
          </w:drawing>
        </mc:Choice>
        <mc:Fallback>
          <w:pict>
            <v:shape id="Shape 43" o:spid="_x0000_s1026" o:spt="32" type="#_x0000_t32" style="position:absolute;left:0pt;margin-left:70.9pt;margin-top:65.15pt;height:0pt;width:700.8pt;mso-position-horizontal-relative:page;mso-position-vertical-relative:page;z-index:-251657216;mso-width-relative:page;mso-height-relative:page;" filled="f" stroked="t" coordsize="21600,21600" o:gfxdata="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t2EY1wAAAAwBAAAP&#10;AAAAAAAAAAEAIAAAACIAAABkcnMvZG93bnJldi54bWxQSwECFAAUAAAACACHTuJAN1OhTqcBAABc&#10;AwAADgAAAAAAAAABACAAAAAmAQAAZHJzL2Uyb0RvYy54bWxQSwUGAAAAAAYABgBZAQAAPwUAAAAA&#10;">
              <v:fill on="f" focussize="0,0"/>
              <v:stroke weight="1pt" color="#FFFFFF" joinstyle="round"/>
              <v:imagedata o:title=""/>
              <o:lock v:ext="edit" aspectratio="f"/>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900430</wp:posOffset>
              </wp:positionH>
              <wp:positionV relativeFrom="page">
                <wp:posOffset>827405</wp:posOffset>
              </wp:positionV>
              <wp:extent cx="8900160" cy="0"/>
              <wp:effectExtent l="0" t="6350" r="2540" b="6350"/>
              <wp:wrapNone/>
              <wp:docPr id="66" name="Shape 48"/>
              <wp:cNvGraphicFramePr/>
              <a:graphic xmlns:a="http://schemas.openxmlformats.org/drawingml/2006/main">
                <a:graphicData uri="http://schemas.microsoft.com/office/word/2010/wordprocessingShape">
                  <wps:wsp>
                    <wps:cNvCnPr/>
                    <wps:spPr>
                      <a:xfrm>
                        <a:off x="0" y="0"/>
                        <a:ext cx="8900160" cy="0"/>
                      </a:xfrm>
                      <a:prstGeom prst="straightConnector1">
                        <a:avLst/>
                      </a:prstGeom>
                      <a:ln w="12700">
                        <a:solidFill>
                          <a:srgbClr val="FFFFFF"/>
                        </a:solidFill>
                      </a:ln>
                    </wps:spPr>
                    <wps:bodyPr/>
                  </wps:wsp>
                </a:graphicData>
              </a:graphic>
            </wp:anchor>
          </w:drawing>
        </mc:Choice>
        <mc:Fallback>
          <w:pict>
            <v:shape id="Shape 48" o:spid="_x0000_s1026" o:spt="32" type="#_x0000_t32" style="position:absolute;left:0pt;margin-left:70.9pt;margin-top:65.15pt;height:0pt;width:700.8pt;mso-position-horizontal-relative:page;mso-position-vertical-relative:page;z-index:-251657216;mso-width-relative:page;mso-height-relative:page;" filled="f" stroked="t" coordsize="21600,21600" o:gfxdata="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63YRjXAAAADAEAAA8A&#10;AAAAAAAAAQAgAAAAIgAAAGRycy9kb3ducmV2LnhtbFBLAQIUABQAAAAIAIdO4kBpbDSnpgEAAFwD&#10;AAAOAAAAAAAAAAEAIAAAACYBAABkcnMvZTJvRG9jLnhtbFBLBQYAAAAABgAGAFkBAAA+BQAAAAA=&#10;">
              <v:fill on="f" focussize="0,0"/>
              <v:stroke weight="1pt" color="#FFFFFF"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549DB7"/>
    <w:multiLevelType w:val="singleLevel"/>
    <w:tmpl w:val="4E549D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TAwYWY3MTIyMDUwYTFlMWIzOTUxMzdlMTNjY2Q1NTgifQ=="/>
  </w:docVars>
  <w:rsids>
    <w:rsidRoot w:val="00000000"/>
    <w:rsid w:val="03547441"/>
    <w:rsid w:val="04250140"/>
    <w:rsid w:val="06187BE0"/>
    <w:rsid w:val="064E38A1"/>
    <w:rsid w:val="090958D7"/>
    <w:rsid w:val="09385C0D"/>
    <w:rsid w:val="09524CF1"/>
    <w:rsid w:val="09867A06"/>
    <w:rsid w:val="0B2F670F"/>
    <w:rsid w:val="0D232935"/>
    <w:rsid w:val="0D4B752B"/>
    <w:rsid w:val="0F552CD3"/>
    <w:rsid w:val="111C3047"/>
    <w:rsid w:val="13047B5C"/>
    <w:rsid w:val="132D5B29"/>
    <w:rsid w:val="15141552"/>
    <w:rsid w:val="15645964"/>
    <w:rsid w:val="159E4791"/>
    <w:rsid w:val="16F52B2B"/>
    <w:rsid w:val="17C16D94"/>
    <w:rsid w:val="17EC4792"/>
    <w:rsid w:val="189F766A"/>
    <w:rsid w:val="19EB442D"/>
    <w:rsid w:val="1B132A73"/>
    <w:rsid w:val="1B7A542F"/>
    <w:rsid w:val="1C931559"/>
    <w:rsid w:val="1EB645A4"/>
    <w:rsid w:val="1F4A635C"/>
    <w:rsid w:val="1F705CAA"/>
    <w:rsid w:val="1F8E186D"/>
    <w:rsid w:val="1FF0037C"/>
    <w:rsid w:val="20064572"/>
    <w:rsid w:val="219261B3"/>
    <w:rsid w:val="23A83D75"/>
    <w:rsid w:val="23B51EDC"/>
    <w:rsid w:val="264C5F68"/>
    <w:rsid w:val="266900F6"/>
    <w:rsid w:val="27BF22F6"/>
    <w:rsid w:val="27DA4E03"/>
    <w:rsid w:val="2C9C00DD"/>
    <w:rsid w:val="340D5F26"/>
    <w:rsid w:val="34184D31"/>
    <w:rsid w:val="35947F5C"/>
    <w:rsid w:val="38C5276A"/>
    <w:rsid w:val="39105DE7"/>
    <w:rsid w:val="391C1E35"/>
    <w:rsid w:val="394539B9"/>
    <w:rsid w:val="39DE1BFB"/>
    <w:rsid w:val="3A286DE1"/>
    <w:rsid w:val="3B227615"/>
    <w:rsid w:val="3C850B8E"/>
    <w:rsid w:val="3DDD2538"/>
    <w:rsid w:val="3DE721EA"/>
    <w:rsid w:val="3E8C4604"/>
    <w:rsid w:val="3EE167B0"/>
    <w:rsid w:val="40D52E0F"/>
    <w:rsid w:val="414C6BD4"/>
    <w:rsid w:val="425E0A77"/>
    <w:rsid w:val="459B4F7E"/>
    <w:rsid w:val="47E8584E"/>
    <w:rsid w:val="489F75F9"/>
    <w:rsid w:val="49304781"/>
    <w:rsid w:val="49691662"/>
    <w:rsid w:val="4AB83630"/>
    <w:rsid w:val="4B0E5D75"/>
    <w:rsid w:val="4B217CD3"/>
    <w:rsid w:val="4B3D125B"/>
    <w:rsid w:val="510C31D4"/>
    <w:rsid w:val="51124353"/>
    <w:rsid w:val="51C27D36"/>
    <w:rsid w:val="526577B1"/>
    <w:rsid w:val="555931B4"/>
    <w:rsid w:val="55EE67AF"/>
    <w:rsid w:val="570F3AA4"/>
    <w:rsid w:val="572A6162"/>
    <w:rsid w:val="57EE5D7B"/>
    <w:rsid w:val="58765AF9"/>
    <w:rsid w:val="59181762"/>
    <w:rsid w:val="596052A9"/>
    <w:rsid w:val="5A1B0365"/>
    <w:rsid w:val="5A4B3D7D"/>
    <w:rsid w:val="5ADC7773"/>
    <w:rsid w:val="60DA5FFA"/>
    <w:rsid w:val="613F510A"/>
    <w:rsid w:val="63A34BB2"/>
    <w:rsid w:val="63E843DA"/>
    <w:rsid w:val="66F9182D"/>
    <w:rsid w:val="67BC64EC"/>
    <w:rsid w:val="6A6D784A"/>
    <w:rsid w:val="6C610B22"/>
    <w:rsid w:val="6CC87B57"/>
    <w:rsid w:val="6CE10C19"/>
    <w:rsid w:val="6ECB392F"/>
    <w:rsid w:val="6F680E48"/>
    <w:rsid w:val="6F9B77A5"/>
    <w:rsid w:val="72CD1B96"/>
    <w:rsid w:val="746805A8"/>
    <w:rsid w:val="75825591"/>
    <w:rsid w:val="78D501D3"/>
    <w:rsid w:val="791B4D50"/>
    <w:rsid w:val="7C26528A"/>
    <w:rsid w:val="7DF739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Heading #1|1_"/>
    <w:basedOn w:val="6"/>
    <w:link w:val="9"/>
    <w:qFormat/>
    <w:uiPriority w:val="0"/>
    <w:rPr>
      <w:rFonts w:ascii="宋体" w:hAnsi="宋体" w:eastAsia="宋体" w:cs="宋体"/>
      <w:sz w:val="42"/>
      <w:szCs w:val="42"/>
      <w:u w:val="none"/>
      <w:shd w:val="clear" w:color="auto" w:fill="auto"/>
      <w:lang w:val="zh-TW" w:eastAsia="zh-TW" w:bidi="zh-TW"/>
    </w:rPr>
  </w:style>
  <w:style w:type="paragraph" w:customStyle="1" w:styleId="9">
    <w:name w:val="Heading #1|1"/>
    <w:basedOn w:val="1"/>
    <w:link w:val="8"/>
    <w:qFormat/>
    <w:uiPriority w:val="0"/>
    <w:pPr>
      <w:widowControl w:val="0"/>
      <w:shd w:val="clear" w:color="auto" w:fill="auto"/>
      <w:spacing w:line="576" w:lineRule="exact"/>
      <w:jc w:val="center"/>
      <w:outlineLvl w:val="0"/>
    </w:pPr>
    <w:rPr>
      <w:rFonts w:ascii="宋体" w:hAnsi="宋体" w:eastAsia="宋体" w:cs="宋体"/>
      <w:sz w:val="42"/>
      <w:szCs w:val="42"/>
      <w:u w:val="none"/>
      <w:shd w:val="clear" w:color="auto" w:fill="auto"/>
      <w:lang w:val="zh-TW" w:eastAsia="zh-TW" w:bidi="zh-TW"/>
    </w:rPr>
  </w:style>
  <w:style w:type="character" w:customStyle="1" w:styleId="10">
    <w:name w:val="Header or footer|2_"/>
    <w:basedOn w:val="6"/>
    <w:link w:val="11"/>
    <w:qFormat/>
    <w:uiPriority w:val="0"/>
    <w:rPr>
      <w:sz w:val="20"/>
      <w:szCs w:val="20"/>
      <w:u w:val="none"/>
      <w:shd w:val="clear" w:color="auto" w:fill="auto"/>
      <w:lang w:val="zh-TW" w:eastAsia="zh-TW" w:bidi="zh-TW"/>
    </w:rPr>
  </w:style>
  <w:style w:type="paragraph" w:customStyle="1" w:styleId="11">
    <w:name w:val="Header or footer|2"/>
    <w:basedOn w:val="1"/>
    <w:link w:val="10"/>
    <w:qFormat/>
    <w:uiPriority w:val="0"/>
    <w:pPr>
      <w:widowControl w:val="0"/>
      <w:shd w:val="clear" w:color="auto" w:fill="auto"/>
    </w:pPr>
    <w:rPr>
      <w:sz w:val="20"/>
      <w:szCs w:val="20"/>
      <w:u w:val="none"/>
      <w:shd w:val="clear" w:color="auto" w:fill="auto"/>
      <w:lang w:val="zh-TW" w:eastAsia="zh-TW" w:bidi="zh-TW"/>
    </w:rPr>
  </w:style>
  <w:style w:type="character" w:customStyle="1" w:styleId="12">
    <w:name w:val="Body text|2_"/>
    <w:basedOn w:val="6"/>
    <w:link w:val="13"/>
    <w:qFormat/>
    <w:uiPriority w:val="0"/>
    <w:rPr>
      <w:rFonts w:ascii="宋体" w:hAnsi="宋体" w:eastAsia="宋体" w:cs="宋体"/>
      <w:sz w:val="28"/>
      <w:szCs w:val="28"/>
      <w:u w:val="none"/>
      <w:shd w:val="clear" w:color="auto" w:fill="auto"/>
      <w:lang w:val="zh-TW" w:eastAsia="zh-TW" w:bidi="zh-TW"/>
    </w:rPr>
  </w:style>
  <w:style w:type="paragraph" w:customStyle="1" w:styleId="13">
    <w:name w:val="Body text|2"/>
    <w:basedOn w:val="1"/>
    <w:link w:val="12"/>
    <w:qFormat/>
    <w:uiPriority w:val="0"/>
    <w:pPr>
      <w:widowControl w:val="0"/>
      <w:shd w:val="clear" w:color="auto" w:fill="auto"/>
      <w:spacing w:line="360" w:lineRule="auto"/>
      <w:ind w:firstLine="400"/>
    </w:pPr>
    <w:rPr>
      <w:rFonts w:ascii="宋体" w:hAnsi="宋体" w:eastAsia="宋体" w:cs="宋体"/>
      <w:sz w:val="28"/>
      <w:szCs w:val="28"/>
      <w:u w:val="none"/>
      <w:shd w:val="clear" w:color="auto" w:fill="auto"/>
      <w:lang w:val="zh-TW" w:eastAsia="zh-TW" w:bidi="zh-TW"/>
    </w:rPr>
  </w:style>
  <w:style w:type="character" w:customStyle="1" w:styleId="14">
    <w:name w:val="Header or footer|1_"/>
    <w:basedOn w:val="6"/>
    <w:link w:val="15"/>
    <w:qFormat/>
    <w:uiPriority w:val="0"/>
    <w:rPr>
      <w:rFonts w:ascii="宋体" w:hAnsi="宋体" w:eastAsia="宋体" w:cs="宋体"/>
      <w:sz w:val="17"/>
      <w:szCs w:val="17"/>
      <w:u w:val="none"/>
      <w:shd w:val="clear" w:color="auto" w:fill="auto"/>
      <w:lang w:val="zh-TW" w:eastAsia="zh-TW" w:bidi="zh-TW"/>
    </w:rPr>
  </w:style>
  <w:style w:type="paragraph" w:customStyle="1" w:styleId="15">
    <w:name w:val="Header or footer|1"/>
    <w:basedOn w:val="1"/>
    <w:link w:val="14"/>
    <w:qFormat/>
    <w:uiPriority w:val="0"/>
    <w:pPr>
      <w:widowControl w:val="0"/>
      <w:shd w:val="clear" w:color="auto" w:fill="auto"/>
    </w:pPr>
    <w:rPr>
      <w:rFonts w:ascii="宋体" w:hAnsi="宋体" w:eastAsia="宋体" w:cs="宋体"/>
      <w:sz w:val="17"/>
      <w:szCs w:val="17"/>
      <w:u w:val="none"/>
      <w:shd w:val="clear" w:color="auto" w:fill="auto"/>
      <w:lang w:val="zh-TW" w:eastAsia="zh-TW" w:bidi="zh-TW"/>
    </w:rPr>
  </w:style>
  <w:style w:type="character" w:customStyle="1" w:styleId="16">
    <w:name w:val="Heading #2|1_"/>
    <w:basedOn w:val="6"/>
    <w:link w:val="17"/>
    <w:qFormat/>
    <w:uiPriority w:val="0"/>
    <w:rPr>
      <w:rFonts w:ascii="宋体" w:hAnsi="宋体" w:eastAsia="宋体" w:cs="宋体"/>
      <w:sz w:val="32"/>
      <w:szCs w:val="32"/>
      <w:u w:val="none"/>
      <w:shd w:val="clear" w:color="auto" w:fill="auto"/>
      <w:lang w:val="zh-TW" w:eastAsia="zh-TW" w:bidi="zh-TW"/>
    </w:rPr>
  </w:style>
  <w:style w:type="paragraph" w:customStyle="1" w:styleId="17">
    <w:name w:val="Heading #2|1"/>
    <w:basedOn w:val="1"/>
    <w:link w:val="16"/>
    <w:qFormat/>
    <w:uiPriority w:val="0"/>
    <w:pPr>
      <w:widowControl w:val="0"/>
      <w:shd w:val="clear" w:color="auto" w:fill="auto"/>
      <w:jc w:val="center"/>
      <w:outlineLvl w:val="1"/>
    </w:pPr>
    <w:rPr>
      <w:rFonts w:ascii="宋体" w:hAnsi="宋体" w:eastAsia="宋体" w:cs="宋体"/>
      <w:sz w:val="32"/>
      <w:szCs w:val="32"/>
      <w:u w:val="none"/>
      <w:shd w:val="clear" w:color="auto" w:fill="auto"/>
      <w:lang w:val="zh-TW" w:eastAsia="zh-TW" w:bidi="zh-TW"/>
    </w:rPr>
  </w:style>
  <w:style w:type="character" w:customStyle="1" w:styleId="18">
    <w:name w:val="Other|1_"/>
    <w:basedOn w:val="6"/>
    <w:link w:val="19"/>
    <w:qFormat/>
    <w:uiPriority w:val="0"/>
    <w:rPr>
      <w:rFonts w:ascii="宋体" w:hAnsi="宋体" w:eastAsia="宋体" w:cs="宋体"/>
      <w:sz w:val="28"/>
      <w:szCs w:val="28"/>
      <w:u w:val="none"/>
      <w:shd w:val="clear" w:color="auto" w:fill="auto"/>
      <w:lang w:val="zh-TW" w:eastAsia="zh-TW" w:bidi="zh-TW"/>
    </w:rPr>
  </w:style>
  <w:style w:type="paragraph" w:customStyle="1" w:styleId="19">
    <w:name w:val="Other|1"/>
    <w:basedOn w:val="1"/>
    <w:link w:val="18"/>
    <w:qFormat/>
    <w:uiPriority w:val="0"/>
    <w:pPr>
      <w:widowControl w:val="0"/>
      <w:shd w:val="clear" w:color="auto" w:fill="auto"/>
      <w:spacing w:line="360" w:lineRule="auto"/>
      <w:ind w:firstLine="400"/>
    </w:pPr>
    <w:rPr>
      <w:rFonts w:ascii="宋体" w:hAnsi="宋体" w:eastAsia="宋体" w:cs="宋体"/>
      <w:sz w:val="28"/>
      <w:szCs w:val="28"/>
      <w:u w:val="none"/>
      <w:shd w:val="clear" w:color="auto" w:fill="auto"/>
      <w:lang w:val="zh-TW" w:eastAsia="zh-TW" w:bidi="zh-TW"/>
    </w:rPr>
  </w:style>
  <w:style w:type="character" w:customStyle="1" w:styleId="20">
    <w:name w:val="Table caption|1_"/>
    <w:basedOn w:val="6"/>
    <w:link w:val="21"/>
    <w:qFormat/>
    <w:uiPriority w:val="0"/>
    <w:rPr>
      <w:sz w:val="19"/>
      <w:szCs w:val="19"/>
      <w:u w:val="none"/>
      <w:shd w:val="clear" w:color="auto" w:fill="auto"/>
      <w:lang w:val="zh-TW" w:eastAsia="zh-TW" w:bidi="zh-TW"/>
    </w:rPr>
  </w:style>
  <w:style w:type="paragraph" w:customStyle="1" w:styleId="21">
    <w:name w:val="Table caption|1"/>
    <w:basedOn w:val="1"/>
    <w:link w:val="20"/>
    <w:qFormat/>
    <w:uiPriority w:val="0"/>
    <w:pPr>
      <w:widowControl w:val="0"/>
      <w:shd w:val="clear" w:color="auto" w:fill="auto"/>
    </w:pPr>
    <w:rPr>
      <w:sz w:val="19"/>
      <w:szCs w:val="19"/>
      <w:u w:val="none"/>
      <w:shd w:val="clear" w:color="auto" w:fill="auto"/>
      <w:lang w:val="zh-TW" w:eastAsia="zh-TW" w:bidi="zh-TW"/>
    </w:rPr>
  </w:style>
  <w:style w:type="character" w:customStyle="1" w:styleId="22">
    <w:name w:val="Body text|7_"/>
    <w:basedOn w:val="6"/>
    <w:link w:val="23"/>
    <w:qFormat/>
    <w:uiPriority w:val="0"/>
    <w:rPr>
      <w:rFonts w:ascii="宋体" w:hAnsi="宋体" w:eastAsia="宋体" w:cs="宋体"/>
      <w:sz w:val="20"/>
      <w:szCs w:val="20"/>
      <w:u w:val="none"/>
      <w:shd w:val="clear" w:color="auto" w:fill="auto"/>
    </w:rPr>
  </w:style>
  <w:style w:type="paragraph" w:customStyle="1" w:styleId="23">
    <w:name w:val="Body text|7"/>
    <w:basedOn w:val="1"/>
    <w:link w:val="22"/>
    <w:qFormat/>
    <w:uiPriority w:val="0"/>
    <w:pPr>
      <w:widowControl w:val="0"/>
      <w:shd w:val="clear" w:color="auto" w:fill="auto"/>
    </w:pPr>
    <w:rPr>
      <w:rFonts w:ascii="宋体" w:hAnsi="宋体" w:eastAsia="宋体" w:cs="宋体"/>
      <w:sz w:val="20"/>
      <w:szCs w:val="20"/>
      <w:u w:val="none"/>
      <w:shd w:val="clear" w:color="auto" w:fill="auto"/>
    </w:rPr>
  </w:style>
  <w:style w:type="character" w:customStyle="1" w:styleId="24">
    <w:name w:val="Body text|1_"/>
    <w:basedOn w:val="6"/>
    <w:link w:val="25"/>
    <w:qFormat/>
    <w:uiPriority w:val="0"/>
    <w:rPr>
      <w:rFonts w:ascii="宋体" w:hAnsi="宋体" w:eastAsia="宋体" w:cs="宋体"/>
      <w:sz w:val="32"/>
      <w:szCs w:val="32"/>
      <w:u w:val="none"/>
      <w:shd w:val="clear" w:color="auto" w:fill="auto"/>
      <w:lang w:val="zh-TW" w:eastAsia="zh-TW" w:bidi="zh-TW"/>
    </w:rPr>
  </w:style>
  <w:style w:type="paragraph" w:customStyle="1" w:styleId="25">
    <w:name w:val="Body text|1"/>
    <w:basedOn w:val="1"/>
    <w:link w:val="24"/>
    <w:qFormat/>
    <w:uiPriority w:val="0"/>
    <w:pPr>
      <w:widowControl w:val="0"/>
      <w:shd w:val="clear" w:color="auto" w:fill="auto"/>
      <w:jc w:val="center"/>
    </w:pPr>
    <w:rPr>
      <w:rFonts w:ascii="宋体" w:hAnsi="宋体" w:eastAsia="宋体" w:cs="宋体"/>
      <w:sz w:val="32"/>
      <w:szCs w:val="32"/>
      <w:u w:val="none"/>
      <w:shd w:val="clear" w:color="auto" w:fill="auto"/>
      <w:lang w:val="zh-TW" w:eastAsia="zh-TW" w:bidi="zh-TW"/>
    </w:rPr>
  </w:style>
  <w:style w:type="character" w:customStyle="1" w:styleId="26">
    <w:name w:val="Body text|3_"/>
    <w:basedOn w:val="6"/>
    <w:link w:val="27"/>
    <w:qFormat/>
    <w:uiPriority w:val="0"/>
    <w:rPr>
      <w:rFonts w:ascii="宋体" w:hAnsi="宋体" w:eastAsia="宋体" w:cs="宋体"/>
      <w:sz w:val="18"/>
      <w:szCs w:val="18"/>
      <w:u w:val="none"/>
      <w:shd w:val="clear" w:color="auto" w:fill="auto"/>
      <w:lang w:val="zh-TW" w:eastAsia="zh-TW" w:bidi="zh-TW"/>
    </w:rPr>
  </w:style>
  <w:style w:type="paragraph" w:customStyle="1" w:styleId="27">
    <w:name w:val="Body text|3"/>
    <w:basedOn w:val="1"/>
    <w:link w:val="26"/>
    <w:qFormat/>
    <w:uiPriority w:val="0"/>
    <w:pPr>
      <w:widowControl w:val="0"/>
      <w:shd w:val="clear" w:color="auto" w:fill="auto"/>
      <w:spacing w:line="284" w:lineRule="exact"/>
      <w:jc w:val="center"/>
    </w:pPr>
    <w:rPr>
      <w:rFonts w:ascii="宋体" w:hAnsi="宋体" w:eastAsia="宋体" w:cs="宋体"/>
      <w:sz w:val="18"/>
      <w:szCs w:val="18"/>
      <w:u w:val="none"/>
      <w:shd w:val="clear" w:color="auto" w:fill="auto"/>
      <w:lang w:val="zh-TW" w:eastAsia="zh-TW" w:bidi="zh-TW"/>
    </w:rPr>
  </w:style>
  <w:style w:type="character" w:customStyle="1" w:styleId="28">
    <w:name w:val="Body text|4_"/>
    <w:basedOn w:val="6"/>
    <w:link w:val="29"/>
    <w:qFormat/>
    <w:uiPriority w:val="0"/>
    <w:rPr>
      <w:rFonts w:ascii="宋体" w:hAnsi="宋体" w:eastAsia="宋体" w:cs="宋体"/>
      <w:sz w:val="20"/>
      <w:szCs w:val="20"/>
      <w:u w:val="none"/>
      <w:shd w:val="clear" w:color="auto" w:fill="auto"/>
      <w:lang w:val="zh-TW" w:eastAsia="zh-TW" w:bidi="zh-TW"/>
    </w:rPr>
  </w:style>
  <w:style w:type="paragraph" w:customStyle="1" w:styleId="29">
    <w:name w:val="Body text|4"/>
    <w:basedOn w:val="1"/>
    <w:link w:val="28"/>
    <w:qFormat/>
    <w:uiPriority w:val="0"/>
    <w:pPr>
      <w:widowControl w:val="0"/>
      <w:shd w:val="clear" w:color="auto" w:fill="auto"/>
      <w:spacing w:line="312" w:lineRule="exact"/>
    </w:pPr>
    <w:rPr>
      <w:rFonts w:ascii="宋体" w:hAnsi="宋体" w:eastAsia="宋体" w:cs="宋体"/>
      <w:sz w:val="20"/>
      <w:szCs w:val="20"/>
      <w:u w:val="none"/>
      <w:shd w:val="clear" w:color="auto" w:fill="auto"/>
      <w:lang w:val="zh-TW" w:eastAsia="zh-TW" w:bidi="zh-TW"/>
    </w:rPr>
  </w:style>
  <w:style w:type="character" w:customStyle="1" w:styleId="30">
    <w:name w:val="Body text|6_"/>
    <w:basedOn w:val="6"/>
    <w:link w:val="31"/>
    <w:qFormat/>
    <w:uiPriority w:val="0"/>
    <w:rPr>
      <w:b/>
      <w:bCs/>
      <w:sz w:val="30"/>
      <w:szCs w:val="30"/>
      <w:u w:val="none"/>
      <w:shd w:val="clear" w:color="auto" w:fill="auto"/>
      <w:lang w:val="zh-TW" w:eastAsia="zh-TW" w:bidi="zh-TW"/>
    </w:rPr>
  </w:style>
  <w:style w:type="paragraph" w:customStyle="1" w:styleId="31">
    <w:name w:val="Body text|6"/>
    <w:basedOn w:val="1"/>
    <w:link w:val="30"/>
    <w:qFormat/>
    <w:uiPriority w:val="0"/>
    <w:pPr>
      <w:widowControl w:val="0"/>
      <w:shd w:val="clear" w:color="auto" w:fill="auto"/>
    </w:pPr>
    <w:rPr>
      <w:b/>
      <w:bCs/>
      <w:sz w:val="30"/>
      <w:szCs w:val="30"/>
      <w:u w:val="none"/>
      <w:shd w:val="clear" w:color="auto" w:fill="auto"/>
      <w:lang w:val="zh-TW" w:eastAsia="zh-TW" w:bidi="zh-TW"/>
    </w:rPr>
  </w:style>
  <w:style w:type="character" w:customStyle="1" w:styleId="32">
    <w:name w:val="Other|2_"/>
    <w:basedOn w:val="6"/>
    <w:link w:val="33"/>
    <w:qFormat/>
    <w:uiPriority w:val="0"/>
    <w:rPr>
      <w:rFonts w:ascii="宋体" w:hAnsi="宋体" w:eastAsia="宋体" w:cs="宋体"/>
      <w:sz w:val="18"/>
      <w:szCs w:val="18"/>
      <w:u w:val="none"/>
      <w:shd w:val="clear" w:color="auto" w:fill="auto"/>
      <w:lang w:val="zh-TW" w:eastAsia="zh-TW" w:bidi="zh-TW"/>
    </w:rPr>
  </w:style>
  <w:style w:type="paragraph" w:customStyle="1" w:styleId="33">
    <w:name w:val="Other|2"/>
    <w:basedOn w:val="1"/>
    <w:link w:val="32"/>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character" w:customStyle="1" w:styleId="34">
    <w:name w:val="Table caption|2_"/>
    <w:basedOn w:val="6"/>
    <w:link w:val="35"/>
    <w:qFormat/>
    <w:uiPriority w:val="0"/>
    <w:rPr>
      <w:rFonts w:ascii="宋体" w:hAnsi="宋体" w:eastAsia="宋体" w:cs="宋体"/>
      <w:sz w:val="18"/>
      <w:szCs w:val="18"/>
      <w:u w:val="none"/>
      <w:shd w:val="clear" w:color="auto" w:fill="auto"/>
      <w:lang w:val="zh-TW" w:eastAsia="zh-TW" w:bidi="zh-TW"/>
    </w:rPr>
  </w:style>
  <w:style w:type="paragraph" w:customStyle="1" w:styleId="35">
    <w:name w:val="Table caption|2"/>
    <w:basedOn w:val="1"/>
    <w:link w:val="34"/>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character" w:customStyle="1" w:styleId="36">
    <w:name w:val="Body text|8_"/>
    <w:basedOn w:val="6"/>
    <w:link w:val="37"/>
    <w:qFormat/>
    <w:uiPriority w:val="0"/>
    <w:rPr>
      <w:sz w:val="19"/>
      <w:szCs w:val="19"/>
      <w:u w:val="none"/>
      <w:shd w:val="clear" w:color="auto" w:fill="auto"/>
      <w:lang w:val="zh-TW" w:eastAsia="zh-TW" w:bidi="zh-TW"/>
    </w:rPr>
  </w:style>
  <w:style w:type="paragraph" w:customStyle="1" w:styleId="37">
    <w:name w:val="Body text|8"/>
    <w:basedOn w:val="1"/>
    <w:link w:val="36"/>
    <w:qFormat/>
    <w:uiPriority w:val="0"/>
    <w:pPr>
      <w:widowControl w:val="0"/>
      <w:shd w:val="clear" w:color="auto" w:fill="auto"/>
      <w:spacing w:after="140"/>
      <w:jc w:val="center"/>
    </w:pPr>
    <w:rPr>
      <w:sz w:val="19"/>
      <w:szCs w:val="19"/>
      <w:u w:val="none"/>
      <w:shd w:val="clear" w:color="auto" w:fill="auto"/>
      <w:lang w:val="zh-TW" w:eastAsia="zh-TW" w:bidi="zh-TW"/>
    </w:rPr>
  </w:style>
  <w:style w:type="character" w:customStyle="1" w:styleId="38">
    <w:name w:val="Body text|5_"/>
    <w:basedOn w:val="6"/>
    <w:link w:val="39"/>
    <w:qFormat/>
    <w:uiPriority w:val="0"/>
    <w:rPr>
      <w:rFonts w:ascii="宋体" w:hAnsi="宋体" w:eastAsia="宋体" w:cs="宋体"/>
      <w:sz w:val="46"/>
      <w:szCs w:val="46"/>
      <w:u w:val="none"/>
      <w:shd w:val="clear" w:color="auto" w:fill="auto"/>
      <w:lang w:val="zh-TW" w:eastAsia="zh-TW" w:bidi="zh-TW"/>
    </w:rPr>
  </w:style>
  <w:style w:type="paragraph" w:customStyle="1" w:styleId="39">
    <w:name w:val="Body text|5"/>
    <w:basedOn w:val="1"/>
    <w:link w:val="38"/>
    <w:qFormat/>
    <w:uiPriority w:val="0"/>
    <w:pPr>
      <w:widowControl w:val="0"/>
      <w:shd w:val="clear" w:color="auto" w:fill="auto"/>
      <w:jc w:val="right"/>
    </w:pPr>
    <w:rPr>
      <w:rFonts w:ascii="宋体" w:hAnsi="宋体" w:eastAsia="宋体" w:cs="宋体"/>
      <w:sz w:val="46"/>
      <w:szCs w:val="46"/>
      <w:u w:val="none"/>
      <w:shd w:val="clear" w:color="auto" w:fill="auto"/>
      <w:lang w:val="zh-TW" w:eastAsia="zh-TW" w:bidi="zh-TW"/>
    </w:rPr>
  </w:style>
  <w:style w:type="character" w:customStyle="1" w:styleId="40">
    <w:name w:val="Picture caption|1_"/>
    <w:basedOn w:val="6"/>
    <w:link w:val="41"/>
    <w:qFormat/>
    <w:uiPriority w:val="0"/>
    <w:rPr>
      <w:rFonts w:ascii="宋体" w:hAnsi="宋体" w:eastAsia="宋体" w:cs="宋体"/>
      <w:sz w:val="28"/>
      <w:szCs w:val="28"/>
      <w:u w:val="none"/>
      <w:shd w:val="clear" w:color="auto" w:fill="auto"/>
      <w:lang w:val="zh-TW" w:eastAsia="zh-TW" w:bidi="zh-TW"/>
    </w:rPr>
  </w:style>
  <w:style w:type="paragraph" w:customStyle="1" w:styleId="41">
    <w:name w:val="Picture caption|1"/>
    <w:basedOn w:val="1"/>
    <w:link w:val="40"/>
    <w:qFormat/>
    <w:uiPriority w:val="0"/>
    <w:pPr>
      <w:widowControl w:val="0"/>
      <w:shd w:val="clear" w:color="auto" w:fill="auto"/>
      <w:jc w:val="center"/>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theme" Target="theme/theme1.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7409</Words>
  <Characters>7519</Characters>
  <TotalTime>5</TotalTime>
  <ScaleCrop>false</ScaleCrop>
  <LinksUpToDate>false</LinksUpToDate>
  <CharactersWithSpaces>7624</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    ^ω^猫 </cp:lastModifiedBy>
  <cp:lastPrinted>2022-03-11T02:11:00Z</cp:lastPrinted>
  <dcterms:modified xsi:type="dcterms:W3CDTF">2022-10-05T02:17:36Z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16367638E6BB4012BEC9C592375BD73B</vt:lpwstr>
  </property>
</Properties>
</file>