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1E2B"/>
          <w:spacing w:val="0"/>
          <w:sz w:val="44"/>
          <w:szCs w:val="44"/>
          <w:highlight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1E2B"/>
          <w:spacing w:val="0"/>
          <w:sz w:val="44"/>
          <w:szCs w:val="44"/>
          <w:highlight w:val="none"/>
          <w:shd w:val="clear" w:fill="FFFFFF"/>
          <w:lang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1E2B"/>
          <w:spacing w:val="0"/>
          <w:sz w:val="44"/>
          <w:szCs w:val="44"/>
          <w:highlight w:val="none"/>
          <w:shd w:val="clear" w:fill="FFFFFF"/>
          <w:lang w:eastAsia="zh-CN"/>
        </w:rPr>
        <w:t>“十四五”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1E2B"/>
          <w:spacing w:val="0"/>
          <w:sz w:val="44"/>
          <w:szCs w:val="44"/>
          <w:highlight w:val="none"/>
          <w:shd w:val="clear" w:fill="FFFFFF"/>
          <w:lang w:eastAsia="zh-CN"/>
        </w:rPr>
        <w:t>职业教育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1E2B"/>
          <w:spacing w:val="0"/>
          <w:sz w:val="44"/>
          <w:szCs w:val="44"/>
          <w:highlight w:val="none"/>
          <w:shd w:val="clear" w:fill="FFFFFF"/>
        </w:rPr>
        <w:t>精品在线开放课程建设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1E2B"/>
          <w:spacing w:val="0"/>
          <w:sz w:val="44"/>
          <w:szCs w:val="44"/>
          <w:highlight w:val="none"/>
          <w:shd w:val="clear" w:fill="FFFFFF"/>
          <w:lang w:eastAsia="zh-CN"/>
        </w:rPr>
        <w:t>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2"/>
          <w:szCs w:val="4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1E2B"/>
          <w:spacing w:val="0"/>
          <w:sz w:val="42"/>
          <w:szCs w:val="42"/>
          <w:highlight w:val="none"/>
          <w:shd w:val="clear" w:fill="FFFFFF"/>
        </w:rPr>
        <w:t>（试行）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 w:val="0"/>
          <w:i w:val="0"/>
          <w:caps w:val="0"/>
          <w:color w:val="001E2B"/>
          <w:spacing w:val="0"/>
          <w:sz w:val="32"/>
          <w:szCs w:val="32"/>
          <w:highlight w:val="none"/>
        </w:rPr>
      </w:pPr>
      <w:r>
        <w:rPr>
          <w:rStyle w:val="7"/>
          <w:rFonts w:hint="eastAsia" w:ascii="黑体" w:hAnsi="黑体" w:eastAsia="黑体" w:cs="黑体"/>
          <w:b/>
          <w:bCs w:val="0"/>
          <w:i w:val="0"/>
          <w:caps w:val="0"/>
          <w:color w:val="001E2B"/>
          <w:spacing w:val="0"/>
          <w:sz w:val="28"/>
          <w:szCs w:val="28"/>
          <w:highlight w:val="none"/>
          <w:shd w:val="clear" w:fill="FFFFFF"/>
        </w:rPr>
        <w:t>一、</w:t>
      </w:r>
      <w:r>
        <w:rPr>
          <w:rStyle w:val="7"/>
          <w:rFonts w:hint="default" w:ascii="Times New Roman" w:hAnsi="Times New Roman" w:eastAsia="黑体" w:cs="Times New Roman"/>
          <w:b/>
          <w:bCs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课程建设总体要求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（一）</w:t>
      </w: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教学内容与资源。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根据预设教学目标、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职业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特点、学生认知规律及教学方式，围绕核心概念及教学内容和资源间关系，碎片化组织教学内容及资源、设置教学情境，形成围绕知识点展开、清晰表达知识框架的短视频模块集。针对各模块知识点或专题应设置内嵌测试的作业题或讨论题，以帮助学习者掌握学习内容或测试学习者学习效果。每门课程应有负责人介绍、课程介绍、教学大纲、预备知识、教学辅导、参考资料、考核方式、在线作业、在线题库和在线答疑等。课程设置应与本校课堂教学的要求相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（二）</w:t>
      </w: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教学设计与方法。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要遵循有效教学的基本规律，结合在线开放课程教学的特征与需求进行整体的教学设计。围绕教学目标精心设计教学活动，科学规划在线学习资源，明确学业评价策略和学习激励措施。课程设计、教学安排和呈现方式符合学习者移动学习和混合式教学的需求。开展在线学习与课堂教学相结合、翻转课堂等多种方式的课堂教学模式，优先支持具有混合式学习等改革实践经验的课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（三）</w:t>
      </w: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教学活动与评价。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要重视学习任务与活动设计，积极开展案例式、混合式、探究式等多种教学模式的学习，通过网页插入式在线测试、即时网上辅导反馈、线上线下讨论、网上作业提交和批改、网上社区讨论等，促进师生之间、学生之间进行资源共享、问题交流和协作学习。建立多元化学习评价体系，探索线上和线下融合，过程性评价与终结性评价相结合的多元化考核评价模式，促进学生自主性学习、过程性学习和体验式学习。课程成绩由过程性考核和终结性考核综合评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（四）</w:t>
      </w: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教学效果与影响。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要注重对教学效果的跟踪评价并开展教学研究工作。基于大数据信息采集分析，全程记录和跟踪教师的教学和学生的学习过程、内容、反馈，全面跟踪和掌握每个学生的个性特点、学习行为，改进学校及教师的教学质量，促进因材施教。充分发挥课程共享作用，推进在线开放课程学分认定和学分管理制度创新。支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成渝地区双城经济圈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职业学校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之间在合作、共赢、协议的基础上实现在线开放共享课程的互认。课程的初始学分由推荐该课程的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职业学校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设定，其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他学校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可在双方协议的基础上，根据本校专业设置和课程学分设置标准自行认定学分。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（五）</w:t>
      </w: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团队支持与服务。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课程建设负责人应为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职业学校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正式聘用，具有丰富的教学经验和较高的学术造诣的教师，课程组成员均在教学一线长期承担本课程教学任务。除主讲教师外，还需配备必要助理教师和现代教育技术人员，能长期在线服务课程建设，承担课程内容更新、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水平高、教学效果好、资源设计和制作能力强的优秀课程教学团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（六）</w:t>
      </w: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信息安全及知识产权保障</w:t>
      </w:r>
      <w:r>
        <w:rPr>
          <w:rStyle w:val="7"/>
          <w:rFonts w:ascii="Times New Roman" w:hAnsi="Times New Roman" w:eastAsia="方正楷体_GBK" w:cs="Times New Roman"/>
          <w:b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职业学校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、课程建设团队均须签订平等互利的知识产权保障协议，明确各方权利和义务，切实保障各方权益。</w:t>
      </w:r>
    </w:p>
    <w:p>
      <w:pPr>
        <w:widowControl/>
        <w:spacing w:line="580" w:lineRule="exact"/>
        <w:ind w:firstLine="640" w:firstLineChars="200"/>
        <w:rPr>
          <w:rStyle w:val="7"/>
          <w:rFonts w:hint="default" w:ascii="Times New Roman" w:hAnsi="Times New Roman" w:eastAsia="黑体" w:cs="Times New Roman"/>
          <w:bCs w:val="0"/>
          <w:i w:val="0"/>
          <w:caps w:val="0"/>
          <w:color w:val="001E2B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bCs w:val="0"/>
          <w:i w:val="0"/>
          <w:caps w:val="0"/>
          <w:color w:val="001E2B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二、课程资源建设内容</w:t>
      </w:r>
    </w:p>
    <w:p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以满足线上+线下混合式教学为出发点，以满足教师灵活搭建课程和学生自主学习的需求为根本，以碎片化的素材资源为基础，进行资源建设。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原则上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每学分总视频长度不低于240分钟，每个视频长度在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至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分钟之间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widowControl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（一）课程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资源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  <w:lang w:eastAsia="zh-CN"/>
        </w:rPr>
        <w:t>主要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包括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基本资源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应以专业教学内容与课程体系改革为前提系统设计，以碎片化的资源建设为基础，以结构化的课程建设为骨架，充分发挥多媒体技术展示资源的优势，开发建设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以学习者为中心的必要数字资源。课程资源须覆盖课程所有基本知识点和岗位基本技能点。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拓展资源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拓展资源应体现行业发展的前沿技术和最新成果，根据产业发展要求和不同用户的个性化需求，有针对性地开发建设拓展资源，增强资源建设的普适性。其内容应包括面向学生的自学、培训、进修、检索、科普、交流等内容，体现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eastAsia="zh-CN" w:bidi="ar"/>
        </w:rPr>
        <w:t>职业教育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特点并向产业领域扩展，如素材库、培训包、工种包、企业案例等。</w:t>
      </w:r>
    </w:p>
    <w:p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楷体_GBK" w:cs="Times New Roman"/>
          <w:b/>
          <w:bCs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方正楷体_GBK" w:cs="Times New Roman"/>
          <w:b/>
          <w:bCs/>
          <w:color w:val="001E2B"/>
          <w:kern w:val="0"/>
          <w:sz w:val="32"/>
          <w:szCs w:val="32"/>
          <w:highlight w:val="none"/>
          <w:shd w:val="clear" w:fill="FFFFFF"/>
          <w:lang w:eastAsia="zh-CN" w:bidi="ar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color w:val="001E2B"/>
          <w:kern w:val="0"/>
          <w:sz w:val="32"/>
          <w:szCs w:val="32"/>
          <w:highlight w:val="none"/>
          <w:shd w:val="clear" w:fill="FFFFFF"/>
          <w:lang w:bidi="ar"/>
        </w:rPr>
        <w:t>课程资源内容主要</w:t>
      </w:r>
      <w:r>
        <w:rPr>
          <w:rFonts w:hint="default" w:ascii="Times New Roman" w:hAnsi="Times New Roman" w:eastAsia="方正楷体_GBK" w:cs="Times New Roman"/>
          <w:b/>
          <w:bCs/>
          <w:color w:val="001E2B"/>
          <w:kern w:val="0"/>
          <w:sz w:val="32"/>
          <w:szCs w:val="32"/>
          <w:highlight w:val="none"/>
          <w:shd w:val="clear" w:fill="FFFFFF"/>
          <w:lang w:eastAsia="zh-CN" w:bidi="ar"/>
        </w:rPr>
        <w:t>包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highlight w:val="none"/>
        </w:rPr>
        <w:t>括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职业标准、技术标准、业务流程、作业规范、教学文件等。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企业生产工具、生产对象、生产场景、校内教学条件等。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企业生产过程、学生实训、课堂教学等。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工作原理、工作过程、内部结构等。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5.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虚拟企业、虚拟场景、虚拟设备以及虚拟实验实训实习项目等。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6.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企业案例、企业网站链接等。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7.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数字化教材、教学课件等。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val="en-US" w:eastAsia="zh-CN" w:bidi="ar"/>
        </w:rPr>
        <w:t>8.</w:t>
      </w: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习题库、试题库等。</w:t>
      </w:r>
    </w:p>
    <w:p>
      <w:pPr>
        <w:snapToGrid w:val="0"/>
        <w:spacing w:line="580" w:lineRule="exact"/>
        <w:ind w:firstLine="643" w:firstLineChars="200"/>
        <w:rPr>
          <w:rFonts w:hint="default" w:ascii="Times New Roman" w:hAnsi="Times New Roman" w:eastAsia="方正楷体_GBK" w:cs="Times New Roman"/>
          <w:b/>
          <w:bCs w:val="0"/>
          <w:color w:val="001E2B"/>
          <w:kern w:val="0"/>
          <w:sz w:val="32"/>
          <w:szCs w:val="32"/>
          <w:highlight w:val="none"/>
          <w:shd w:val="clear" w:fill="FFFFFF"/>
          <w:lang w:eastAsia="zh-CN" w:bidi="ar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1E2B"/>
          <w:kern w:val="0"/>
          <w:sz w:val="32"/>
          <w:szCs w:val="32"/>
          <w:highlight w:val="none"/>
          <w:shd w:val="clear" w:fill="FFFFFF"/>
          <w:lang w:eastAsia="zh-CN" w:bidi="ar"/>
        </w:rPr>
        <w:t>（三）</w:t>
      </w:r>
      <w:r>
        <w:rPr>
          <w:rFonts w:hint="default" w:ascii="Times New Roman" w:hAnsi="Times New Roman" w:eastAsia="方正楷体_GBK" w:cs="Times New Roman"/>
          <w:b/>
          <w:bCs w:val="0"/>
          <w:color w:val="001E2B"/>
          <w:kern w:val="0"/>
          <w:sz w:val="32"/>
          <w:szCs w:val="32"/>
          <w:highlight w:val="none"/>
          <w:shd w:val="clear" w:fill="FFFFFF"/>
          <w:lang w:bidi="ar"/>
        </w:rPr>
        <w:t>课程资源建设要求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1E2B"/>
          <w:kern w:val="0"/>
          <w:sz w:val="32"/>
          <w:szCs w:val="32"/>
          <w:highlight w:val="none"/>
          <w:shd w:val="clear" w:fill="FFFFFF"/>
          <w:lang w:bidi="ar"/>
        </w:rPr>
        <w:t>依据结构化课程设计，分层建设课程资源。建设资源分为素材资源、积件资源、模块资源和课程资源四个层级，以文本、图片、动画、音视频、虚拟仿真等多种媒体形式呈现，以满足学习者按照不同的学习方式和学习路径进行自主学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Style w:val="7"/>
          <w:rFonts w:hint="default" w:ascii="Times New Roman" w:hAnsi="Times New Roman" w:eastAsia="黑体" w:cs="Times New Roman"/>
          <w:bCs w:val="0"/>
          <w:i w:val="0"/>
          <w:caps w:val="0"/>
          <w:color w:val="001E2B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bCs w:val="0"/>
          <w:i w:val="0"/>
          <w:caps w:val="0"/>
          <w:color w:val="001E2B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三、课程视频制作规范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（一）视频内容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1.屏幕图像的构图合理，画面主体突出。人像及肢体动作以及配合讲授选用的板书、画板、教具实物、模型和实验设备等均不能超出镜头所及范围。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2.演播室使用的背景采用彩色喷绘或电脑虚拟、实景等背景。建议采用彩色喷绘背景。背景的颜色、图案不易过多，应保持静态，画面应简洁、明快，有利于营造课堂气氛。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3.摄像镜头应保持与主讲教师目光平视的角度。主讲教师不应较长时间仰视或俯视。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4.使用资料、图片、外景实拍、实验和表演等形象化教学手段，应符合教学内容要求，与讲授内容联系紧密，手段选用恰当。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5.选用影视作品或自拍素材，应注明素材来源。影视作品或自拍素材中涉及人物访谈内容时，除应加注人物介绍外，还应采用滚动式同声字幕。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6.选用的资料、图片等素材画面应清楚，对于历史资料、图片应进行再加工。选用的资料、图片等素材应注明素材来源及原始信息（如字画的作品、生卒年月，影视片断的作品名称、创作年代等信息）。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7.动画的设计与使用，要与课程内容相贴切，能够发挥良好的教学效果。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8.动画的实现须流畅、合理、图像清晰，具有较强的可视性。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（二）视频技术规格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1.视频信号源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（1）稳定性：全片图像同步性能稳定，无失步现象，CTL同步控制信号必须连续：图像无抖动跳跃，色彩无突变，编辑点处图像稳定。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（2）信噪比：图像信噪比不低于55dB，无明显杂波。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（3）色调：白平衡正确，无明显偏色，多机拍摄的镜头衔接处无明显色差。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2.音频信号源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（1）声道：中文内容音频信号记录于第1声道，音乐、音效、同期声记录于第2声道，若有其他文字解说记录于第3声道(如录音设备无第3声道,则录于第2声道)。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（2）电平指标：-2db —— -8db声音应无明显失真、放音过冲、过弱。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（3）音频信噪比不低于48db。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（4）声音和画面要求同步，无交流声或其他杂音等缺陷。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（5）伴音清晰、饱满、圆润，无失真、噪声杂音干扰、音量忽大忽小现象。解说声与现场声无明显比例失调，解说声与背景音乐无明显比例失调。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3.视频压缩格式及技术参数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（1）视频压缩采用H.264/AVC (MPEG-4 Part10)编码、使用二次编码、不包含字幕的MP4格式。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（2）视频码流率：动态码流的最低码率不得低于1024Kb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（3）视频分辨率 前期采用标清4:3拍摄时，请设定为 720×576 前期采用高清16:9拍摄时，请设定为 1280×720或1920×1080。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（4）视频画幅宽高比 分辨率设定为 720×576的，请选定 4:3 分辨率设定为1280×720或1920×1080的，请选定 16:9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（5）视频帧率为25帧/秒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（6）扫描方式采用逐行扫描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4.音频压缩格式及技术参数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（1）音频压缩采用AAC(MPEG4 Part3)格式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（2）采样率48KHz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（3）音频码流率128Kbps (恒定)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（4）必须是双声道，必须做混音处理。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5.封装采用MP4封装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Style w:val="7"/>
          <w:rFonts w:ascii="Times New Roman" w:hAnsi="Times New Roman" w:eastAsia="方正楷体_GBK" w:cs="Times New Roman"/>
          <w:b/>
          <w:sz w:val="32"/>
          <w:szCs w:val="32"/>
          <w:shd w:val="clear" w:fill="FFFFFF"/>
        </w:rPr>
      </w:pPr>
      <w:r>
        <w:rPr>
          <w:rStyle w:val="7"/>
          <w:rFonts w:hint="default" w:ascii="Times New Roman" w:hAnsi="Times New Roman" w:eastAsia="方正楷体_GBK" w:cs="Times New Roman"/>
          <w:b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（三）演示文稿（PPT）制作规范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演示文稿（PPT）要求集文字、图形、图像、声音以及视频等多种媒体元素于一体，一般不使用纯文字的演示文稿（PPT）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页面设置要求符合高清格式比例，幻灯片大小为“全屏显示16：9”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整体效果应风格统一、色彩协调、美观大方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每页四周留出空白，应避免内容顶到页面边缘，边界安全区域分别为左、右130像素内，上、下90像素内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色彩的选配应与课程科目相吻合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背景色以简洁适中饱和度为主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文字、图形等内容应与背景对比醒目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同一屏里文字不宜超出三种颜色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图像应清晰并能反映出内容主题思想，通俗易懂，便于理解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分辨率应上72dpi以上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1E2B"/>
          <w:spacing w:val="0"/>
          <w:sz w:val="32"/>
          <w:szCs w:val="32"/>
          <w:highlight w:val="none"/>
          <w:shd w:val="clear" w:fill="FFFFFF"/>
        </w:rPr>
        <w:t>素材选用注意版权，涉及版权问题须加入“版权来源”信息。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900544-D807-45FE-8F21-226FBAD67D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519C846-C78C-46B4-AAD9-AB816F1D24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BA796A-2B65-41C0-A00C-34C8ED42EB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311C9D9-E11F-4AC4-AE35-CE6FD3331768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1BC2502B-6487-4883-B555-424B9A426E9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20911"/>
    <w:rsid w:val="01A44BF8"/>
    <w:rsid w:val="01DB6A56"/>
    <w:rsid w:val="0A121795"/>
    <w:rsid w:val="0ACF62FD"/>
    <w:rsid w:val="0CBE6028"/>
    <w:rsid w:val="0FF7877D"/>
    <w:rsid w:val="15270E14"/>
    <w:rsid w:val="1F5847A1"/>
    <w:rsid w:val="25233A54"/>
    <w:rsid w:val="25684EFE"/>
    <w:rsid w:val="30D20911"/>
    <w:rsid w:val="3E426134"/>
    <w:rsid w:val="44BB52FF"/>
    <w:rsid w:val="51152763"/>
    <w:rsid w:val="58DE0352"/>
    <w:rsid w:val="636400CB"/>
    <w:rsid w:val="655F6331"/>
    <w:rsid w:val="68364F40"/>
    <w:rsid w:val="716354A5"/>
    <w:rsid w:val="7BBC219B"/>
    <w:rsid w:val="7F25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2018-01-18T12:06:00Z</dcterms:created>
  <dc:creator>XHG</dc:creator>
  <cp:lastModifiedBy>陈志国</cp:lastModifiedBy>
  <dcterms:modified xsi:type="dcterms:W3CDTF">2022-01-10T08:04:55Z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