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646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附件一：</w:t>
      </w:r>
      <w:r>
        <w:rPr>
          <w:rFonts w:hint="eastAsia" w:ascii="黑体" w:hAnsi="黑体" w:eastAsia="黑体"/>
          <w:sz w:val="32"/>
          <w:szCs w:val="32"/>
        </w:rPr>
        <w:t>资格要求</w:t>
      </w:r>
    </w:p>
    <w:p w14:paraId="2551066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1. 满足《中华人民共和国政府采购法》第二十二条规定：</w:t>
      </w:r>
    </w:p>
    <w:p w14:paraId="69DC39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（1）具有独立承担民事责任的能力；</w:t>
      </w:r>
    </w:p>
    <w:p w14:paraId="6F8F10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（2）具有良好的商业信誉和健全的财务会计制度；</w:t>
      </w:r>
    </w:p>
    <w:p w14:paraId="54C58D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（3）具有履行合同所必需的设备和专业技术能力；</w:t>
      </w:r>
    </w:p>
    <w:p w14:paraId="39082C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（4）有依法缴纳税收和社会保障资金的良好记录；</w:t>
      </w:r>
    </w:p>
    <w:p w14:paraId="123649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（5）参加政府采购活动近3年内，在经营活动中没有重大违法记录；</w:t>
      </w:r>
    </w:p>
    <w:p w14:paraId="6E21F7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（6）法律、行政法规规定的其他条件。</w:t>
      </w:r>
    </w:p>
    <w:p w14:paraId="79DF4A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2. 本项目的特定资格要求：</w:t>
      </w:r>
    </w:p>
    <w:p w14:paraId="40AA5C7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（1）供应商须为在司法行政部门登记的具备执业条件的律师事务所，并提供《律师事务所执业许可证》复印件。</w:t>
      </w:r>
    </w:p>
    <w:p w14:paraId="355DFE6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（2）列入失信被执行人、重大税收违法失信主体名单、政府采购严重违法失信行为记录名单的，不得参与本次采购活动。</w:t>
      </w:r>
    </w:p>
    <w:p w14:paraId="13F648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F5AB9"/>
    <w:rsid w:val="4618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286</Characters>
  <Lines>0</Lines>
  <Paragraphs>0</Paragraphs>
  <TotalTime>0</TotalTime>
  <ScaleCrop>false</ScaleCrop>
  <LinksUpToDate>false</LinksUpToDate>
  <CharactersWithSpaces>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2024-12-04T02:42:00Z</dcterms:created>
  <dc:creator>Administrator</dc:creator>
  <cp:lastModifiedBy>小丸子</cp:lastModifiedBy>
  <dcterms:modified xsi:type="dcterms:W3CDTF">2024-12-06T06:31:19Z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88693F3AF149492C9F30A992E70EBFDB_13</vt:lpwstr>
  </property>
</Properties>
</file>